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800" w:after="280"/>
        <w:jc w:val="center"/>
      </w:pPr>
      <w:r>
        <w:rPr>
          <w:rFonts w:ascii="Calibri" w:hAnsi="Calibri"/>
          <w:b/>
          <w:color w:val="2E74B5"/>
          <w:sz w:val="20"/>
        </w:rPr>
        <w:t>ACADEMIC WORKING DRAFT GUIDE</w:t>
      </w:r>
    </w:p>
    <w:p>
      <w:pPr>
        <w:spacing w:after="200"/>
        <w:jc w:val="center"/>
      </w:pPr>
      <w:r>
        <w:rPr>
          <w:rFonts w:ascii="Calibri" w:hAnsi="Calibri"/>
          <w:b/>
          <w:color w:val="203748"/>
          <w:sz w:val="60"/>
        </w:rPr>
        <w:t>Emerson Solutions</w:t>
      </w:r>
    </w:p>
    <w:p>
      <w:pPr>
        <w:spacing w:after="480"/>
        <w:jc w:val="center"/>
      </w:pPr>
      <w:r>
        <w:rPr>
          <w:rFonts w:ascii="Calibri" w:hAnsi="Calibri"/>
          <w:color w:val="1F4D78"/>
          <w:sz w:val="34"/>
        </w:rPr>
        <w:t>Performance Management Cycle Plan</w:t>
      </w:r>
    </w:p>
    <w:tbl>
      <w:tblPr>
        <w:tblStyle w:val="TableGrid"/>
        <w:tblW w:type="dxa" w:w="9360"/>
        <w:jc w:val="center"/>
        <w:tblLayout w:type="fixed"/>
        <w:tblLook w:firstColumn="1" w:firstRow="1" w:lastColumn="0" w:lastRow="0" w:noHBand="0" w:noVBand="1" w:val="04A0"/>
        <w:tblInd w:w="120" w:type="dxa"/>
      </w:tblPr>
      <w:tblGrid>
        <w:gridCol w:w="3000"/>
        <w:gridCol w:w="6360"/>
      </w:tblGrid>
      <w:tr>
        <w:trPr>
          <w:tblHeader w:val="true"/>
          <w:cantSplit w:val="true"/>
        </w:trPr>
        <w:tc>
          <w:tcPr>
            <w:tcW w:type="dxa" w:w="3000"/>
            <w:vAlign w:val="center"/>
            <w:tcMar>
              <w:top w:w="80" w:type="dxa"/>
              <w:start w:w="120" w:type="dxa"/>
              <w:bottom w:w="80" w:type="dxa"/>
              <w:end w:w="120" w:type="dxa"/>
            </w:tcMar>
            <w:shd w:fill="E8EEF5"/>
          </w:tcPr>
          <w:p>
            <w:r>
              <w:rPr>
                <w:b/>
              </w:rPr>
              <w:t>Target length</w:t>
            </w:r>
          </w:p>
        </w:tc>
        <w:tc>
          <w:tcPr>
            <w:tcW w:type="dxa" w:w="6360"/>
            <w:vAlign w:val="center"/>
            <w:tcMar>
              <w:top w:w="80" w:type="dxa"/>
              <w:start w:w="120" w:type="dxa"/>
              <w:bottom w:w="80" w:type="dxa"/>
              <w:end w:w="120" w:type="dxa"/>
            </w:tcMar>
          </w:tcPr>
          <w:p>
            <w:r>
              <w:t>1,500 words exactly across 11 planned paragraphs</w:t>
            </w:r>
          </w:p>
        </w:tc>
      </w:tr>
      <w:tr>
        <w:trPr>
          <w:cantSplit w:val="true"/>
        </w:trPr>
        <w:tc>
          <w:tcPr>
            <w:tcW w:type="dxa" w:w="3000"/>
            <w:vAlign w:val="center"/>
            <w:tcMar>
              <w:top w:w="80" w:type="dxa"/>
              <w:start w:w="120" w:type="dxa"/>
              <w:bottom w:w="80" w:type="dxa"/>
              <w:end w:w="120" w:type="dxa"/>
            </w:tcMar>
            <w:shd w:fill="E8EEF5"/>
          </w:tcPr>
          <w:p>
            <w:r>
              <w:rPr>
                <w:b/>
              </w:rPr>
              <w:t>Selected unit</w:t>
            </w:r>
          </w:p>
        </w:tc>
        <w:tc>
          <w:tcPr>
            <w:tcW w:type="dxa" w:w="6360"/>
            <w:vAlign w:val="center"/>
            <w:tcMar>
              <w:top w:w="80" w:type="dxa"/>
              <w:start w:w="120" w:type="dxa"/>
              <w:bottom w:w="80" w:type="dxa"/>
              <w:end w:w="120" w:type="dxa"/>
            </w:tcMar>
          </w:tcPr>
          <w:p>
            <w:r>
              <w:t>Manufacturing and Operations within Emerson's Discrete Automation business</w:t>
            </w:r>
          </w:p>
        </w:tc>
      </w:tr>
      <w:tr>
        <w:trPr>
          <w:cantSplit w:val="true"/>
        </w:trPr>
        <w:tc>
          <w:tcPr>
            <w:tcW w:type="dxa" w:w="3000"/>
            <w:vAlign w:val="center"/>
            <w:tcMar>
              <w:top w:w="80" w:type="dxa"/>
              <w:start w:w="120" w:type="dxa"/>
              <w:bottom w:w="80" w:type="dxa"/>
              <w:end w:w="120" w:type="dxa"/>
            </w:tcMar>
            <w:shd w:fill="E8EEF5"/>
          </w:tcPr>
          <w:p>
            <w:r>
              <w:rPr>
                <w:b/>
              </w:rPr>
              <w:t>Purpose</w:t>
            </w:r>
          </w:p>
        </w:tc>
        <w:tc>
          <w:tcPr>
            <w:tcW w:type="dxa" w:w="6360"/>
            <w:vAlign w:val="center"/>
            <w:tcMar>
              <w:top w:w="80" w:type="dxa"/>
              <w:start w:w="120" w:type="dxa"/>
              <w:bottom w:w="80" w:type="dxa"/>
              <w:end w:w="120" w:type="dxa"/>
            </w:tcMar>
          </w:tcPr>
          <w:p>
            <w:r>
              <w:t>Paragraph-by-paragraph drafting roadmap; not a finished submission</w:t>
            </w:r>
          </w:p>
        </w:tc>
      </w:tr>
    </w:tbl>
    <w:p>
      <w:pPr>
        <w:spacing w:before="560"/>
        <w:jc w:val="center"/>
      </w:pPr>
      <w:r>
        <w:rPr>
          <w:rFonts w:ascii="Calibri" w:hAnsi="Calibri"/>
          <w:i/>
          <w:color w:val="667085"/>
          <w:sz w:val="21"/>
        </w:rPr>
        <w:t>Use the fragments, evidence, and examples below to write the final paper in your own voice.</w:t>
      </w:r>
    </w:p>
    <w:p>
      <w:r>
        <w:br w:type="page"/>
      </w:r>
    </w:p>
    <w:p>
      <w:pPr>
        <w:pStyle w:val="Heading1"/>
      </w:pPr>
      <w:r>
        <w:t>1. Readiness audit</w:t>
      </w:r>
    </w:p>
    <w:p>
      <w:pPr>
        <w:spacing w:after="100" w:line="300" w:lineRule="auto"/>
      </w:pPr>
      <w:r>
        <w:rPr>
          <w:rFonts w:ascii="Calibri" w:hAnsi="Calibri"/>
          <w:b/>
          <w:color w:val="1F4D78"/>
          <w:sz w:val="22"/>
        </w:rPr>
        <w:t xml:space="preserve">Available: </w:t>
      </w:r>
      <w:r>
        <w:rPr>
          <w:rFonts w:ascii="Calibri" w:hAnsi="Calibri"/>
          <w:color w:val="000000"/>
          <w:sz w:val="22"/>
        </w:rPr>
        <w:t>Complete assignment prompt, course textbook, Emerson's 2025 Form 10-K, Emerson's 2025 Sustainability Report announcement, Emerson's Learning and Development webpage, and peer-reviewed performance-management research.</w:t>
      </w:r>
    </w:p>
    <w:tbl>
      <w:tblPr>
        <w:tblStyle w:val="TableGrid"/>
        <w:tblW w:type="dxa" w:w="9360"/>
        <w:jc w:val="left"/>
        <w:tblLayout w:type="fixed"/>
        <w:tblLook w:firstColumn="1" w:firstRow="1" w:lastColumn="0" w:lastRow="0" w:noHBand="0" w:noVBand="1" w:val="04A0"/>
        <w:tblInd w:w="120" w:type="dxa"/>
      </w:tblPr>
      <w:tblGrid>
        <w:gridCol w:w="9360"/>
      </w:tblGrid>
      <w:tr>
        <w:trPr>
          <w:tblHeader w:val="true"/>
          <w:cantSplit w:val="true"/>
        </w:trPr>
        <w:tc>
          <w:tcPr>
            <w:tcW w:type="dxa" w:w="9360"/>
            <w:vAlign w:val="center"/>
            <w:tcMar>
              <w:top w:w="80" w:type="dxa"/>
              <w:start w:w="120" w:type="dxa"/>
              <w:bottom w:w="80" w:type="dxa"/>
              <w:end w:w="120" w:type="dxa"/>
            </w:tcMar>
            <w:shd w:fill="F2F4F7"/>
          </w:tcPr>
          <w:p>
            <w:pPr>
              <w:spacing w:after="100" w:line="300" w:lineRule="auto"/>
            </w:pPr>
            <w:r>
              <w:rPr>
                <w:rFonts w:ascii="Calibri" w:hAnsi="Calibri"/>
                <w:b/>
                <w:color w:val="1F4D78"/>
                <w:sz w:val="22"/>
              </w:rPr>
              <w:t xml:space="preserve">Missing: </w:t>
            </w:r>
            <w:r>
              <w:rPr>
                <w:rFonts w:ascii="Calibri" w:hAnsi="Calibri"/>
                <w:color w:val="000000"/>
                <w:sz w:val="22"/>
              </w:rPr>
              <w:t>The separate grading rubric referenced in the prompt is not present in the workspace. This guide addresses every visible requirement, but the final paper must be checked against the rubric before submission.</w:t>
            </w:r>
          </w:p>
        </w:tc>
      </w:tr>
    </w:tbl>
    <w:p>
      <w:pPr>
        <w:spacing w:after="100" w:line="300" w:lineRule="auto"/>
      </w:pPr>
      <w:r>
        <w:rPr>
          <w:rFonts w:ascii="Calibri" w:hAnsi="Calibri"/>
          <w:b/>
          <w:color w:val="1F4D78"/>
          <w:sz w:val="22"/>
        </w:rPr>
        <w:t xml:space="preserve">Naming note: </w:t>
      </w:r>
      <w:r>
        <w:rPr>
          <w:rFonts w:ascii="Calibri" w:hAnsi="Calibri"/>
          <w:color w:val="000000"/>
          <w:sz w:val="22"/>
        </w:rPr>
        <w:t>Introduce the legal organization as Emerson Electric Co. (Emerson). The assignment title may use Emerson Solutions, while the selected unit should be identified as Manufacturing and Operations within Emerson's Discrete Automation business.</w:t>
      </w:r>
    </w:p>
    <w:p>
      <w:pPr>
        <w:pStyle w:val="Heading1"/>
      </w:pPr>
      <w:r>
        <w:t>2. Working title and controlling argument</w:t>
      </w:r>
    </w:p>
    <w:p>
      <w:pPr>
        <w:spacing w:after="100" w:line="300" w:lineRule="auto"/>
      </w:pPr>
      <w:r>
        <w:rPr>
          <w:rFonts w:ascii="Calibri" w:hAnsi="Calibri"/>
          <w:b/>
          <w:color w:val="1F4D78"/>
          <w:sz w:val="22"/>
        </w:rPr>
        <w:t xml:space="preserve">Working title: </w:t>
      </w:r>
      <w:r>
        <w:rPr>
          <w:rFonts w:ascii="Calibri" w:hAnsi="Calibri"/>
          <w:color w:val="000000"/>
          <w:sz w:val="22"/>
        </w:rPr>
        <w:t>A Performance Management Cycle Plan for Emerson Solutions</w:t>
      </w:r>
    </w:p>
    <w:tbl>
      <w:tblPr>
        <w:tblStyle w:val="TableGrid"/>
        <w:tblW w:type="dxa" w:w="9360"/>
        <w:jc w:val="left"/>
        <w:tblLayout w:type="fixed"/>
        <w:tblLook w:firstColumn="1" w:firstRow="1" w:lastColumn="0" w:lastRow="0" w:noHBand="0" w:noVBand="1" w:val="04A0"/>
        <w:tblInd w:w="120" w:type="dxa"/>
      </w:tblPr>
      <w:tblGrid>
        <w:gridCol w:w="9360"/>
      </w:tblGrid>
      <w:tr>
        <w:trPr>
          <w:tblHeader w:val="true"/>
          <w:cantSplit w:val="true"/>
        </w:trPr>
        <w:tc>
          <w:tcPr>
            <w:tcW w:type="dxa" w:w="9360"/>
            <w:vAlign w:val="center"/>
            <w:tcMar>
              <w:top w:w="80" w:type="dxa"/>
              <w:start w:w="120" w:type="dxa"/>
              <w:bottom w:w="80" w:type="dxa"/>
              <w:end w:w="120" w:type="dxa"/>
            </w:tcMar>
            <w:shd w:fill="F7F9FC"/>
          </w:tcPr>
          <w:p>
            <w:pPr>
              <w:spacing w:after="100" w:line="300" w:lineRule="auto"/>
            </w:pPr>
            <w:r>
              <w:rPr>
                <w:rFonts w:ascii="Calibri" w:hAnsi="Calibri"/>
                <w:b/>
                <w:color w:val="1F4D78"/>
                <w:sz w:val="22"/>
              </w:rPr>
              <w:t xml:space="preserve">Controlling thesis: </w:t>
            </w:r>
            <w:r>
              <w:rPr>
                <w:rFonts w:ascii="Calibri" w:hAnsi="Calibri"/>
                <w:color w:val="000000"/>
                <w:sz w:val="22"/>
              </w:rPr>
              <w:t>Emerson can strengthen its automation strategy and HR goals by implementing a continuous performance-management cycle that connects organizational outcomes with measurable employee goals, regular coaching, equitable evaluations, targeted development, and consistent consequences. Applied to Manufacturing and Operations, this approach can improve product quality, safety, innovation, inclusion, and employee retention while strengthening Emerson's competitive advantage.</w:t>
            </w:r>
          </w:p>
        </w:tc>
      </w:tr>
    </w:tbl>
    <w:p>
      <w:pPr>
        <w:pStyle w:val="Heading1"/>
      </w:pPr>
      <w:r>
        <w:t>3. Source placement map</w:t>
      </w:r>
    </w:p>
    <w:tbl>
      <w:tblPr>
        <w:tblStyle w:val="TableGrid"/>
        <w:tblW w:type="dxa" w:w="9360"/>
        <w:jc w:val="left"/>
        <w:tblLayout w:type="fixed"/>
        <w:tblLook w:firstColumn="1" w:firstRow="1" w:lastColumn="0" w:lastRow="0" w:noHBand="0" w:noVBand="1" w:val="04A0"/>
        <w:tblInd w:w="120" w:type="dxa"/>
      </w:tblPr>
      <w:tblGrid>
        <w:gridCol w:w="2700"/>
        <w:gridCol w:w="6660"/>
      </w:tblGrid>
      <w:tr>
        <w:trPr>
          <w:tblHeader w:val="true"/>
          <w:cantSplit w:val="true"/>
        </w:trPr>
        <w:tc>
          <w:tcPr>
            <w:tcW w:type="dxa" w:w="2700"/>
            <w:vAlign w:val="center"/>
            <w:tcMar>
              <w:top w:w="80" w:type="dxa"/>
              <w:start w:w="120" w:type="dxa"/>
              <w:bottom w:w="80" w:type="dxa"/>
              <w:end w:w="120" w:type="dxa"/>
            </w:tcMar>
            <w:shd w:fill="E8EEF5"/>
          </w:tcPr>
          <w:p>
            <w:pPr>
              <w:spacing w:after="0" w:line="240" w:lineRule="auto"/>
            </w:pPr>
            <w:r>
              <w:rPr>
                <w:rFonts w:ascii="Calibri" w:hAnsi="Calibri"/>
                <w:b/>
                <w:color w:val="203748"/>
                <w:sz w:val="19"/>
              </w:rPr>
              <w:t>Source</w:t>
            </w:r>
          </w:p>
        </w:tc>
        <w:tc>
          <w:tcPr>
            <w:tcW w:type="dxa" w:w="6660"/>
            <w:vAlign w:val="center"/>
            <w:tcMar>
              <w:top w:w="80" w:type="dxa"/>
              <w:start w:w="120" w:type="dxa"/>
              <w:bottom w:w="80" w:type="dxa"/>
              <w:end w:w="120" w:type="dxa"/>
            </w:tcMar>
            <w:shd w:fill="E8EEF5"/>
          </w:tcPr>
          <w:p>
            <w:pPr>
              <w:spacing w:after="0" w:line="240" w:lineRule="auto"/>
            </w:pPr>
            <w:r>
              <w:rPr>
                <w:rFonts w:ascii="Calibri" w:hAnsi="Calibri"/>
                <w:b/>
                <w:color w:val="203748"/>
                <w:sz w:val="19"/>
              </w:rPr>
              <w:t>Best use in the paper</w:t>
            </w:r>
          </w:p>
        </w:tc>
      </w:tr>
      <w:tr>
        <w:trPr>
          <w:cantSplit w:val="true"/>
        </w:trPr>
        <w:tc>
          <w:tcPr>
            <w:tcW w:type="dxa" w:w="2700"/>
            <w:vAlign w:val="center"/>
            <w:tcMar>
              <w:top w:w="80" w:type="dxa"/>
              <w:start w:w="120" w:type="dxa"/>
              <w:bottom w:w="80" w:type="dxa"/>
              <w:end w:w="120" w:type="dxa"/>
            </w:tcMar>
          </w:tcPr>
          <w:p>
            <w:pPr>
              <w:spacing w:after="0" w:line="240" w:lineRule="auto"/>
            </w:pPr>
            <w:r>
              <w:rPr>
                <w:b/>
                <w:sz w:val="19"/>
              </w:rPr>
              <w:t>Noe et al. course textbook</w:t>
            </w:r>
          </w:p>
        </w:tc>
        <w:tc>
          <w:tcPr>
            <w:tcW w:type="dxa" w:w="6660"/>
            <w:vAlign w:val="center"/>
            <w:tcMar>
              <w:top w:w="80" w:type="dxa"/>
              <w:start w:w="120" w:type="dxa"/>
              <w:bottom w:w="80" w:type="dxa"/>
              <w:end w:w="120" w:type="dxa"/>
            </w:tcMar>
          </w:tcPr>
          <w:p>
            <w:pPr>
              <w:spacing w:after="0" w:line="240" w:lineRule="auto"/>
            </w:pPr>
            <w:r>
              <w:rPr>
                <w:sz w:val="19"/>
              </w:rPr>
              <w:t>Six-step cycle, feedback, training evaluation, rating errors, and retention.</w:t>
            </w:r>
          </w:p>
        </w:tc>
      </w:tr>
      <w:tr>
        <w:trPr>
          <w:cantSplit w:val="true"/>
        </w:trPr>
        <w:tc>
          <w:tcPr>
            <w:tcW w:type="dxa" w:w="2700"/>
            <w:vAlign w:val="center"/>
            <w:tcMar>
              <w:top w:w="80" w:type="dxa"/>
              <w:start w:w="120" w:type="dxa"/>
              <w:bottom w:w="80" w:type="dxa"/>
              <w:end w:w="120" w:type="dxa"/>
            </w:tcMar>
          </w:tcPr>
          <w:p>
            <w:pPr>
              <w:spacing w:after="0" w:line="240" w:lineRule="auto"/>
            </w:pPr>
            <w:r>
              <w:rPr>
                <w:b/>
                <w:sz w:val="19"/>
              </w:rPr>
              <w:t>Emerson 2025 Form 10-K</w:t>
            </w:r>
          </w:p>
        </w:tc>
        <w:tc>
          <w:tcPr>
            <w:tcW w:type="dxa" w:w="6660"/>
            <w:vAlign w:val="center"/>
            <w:tcMar>
              <w:top w:w="80" w:type="dxa"/>
              <w:start w:w="120" w:type="dxa"/>
              <w:bottom w:w="80" w:type="dxa"/>
              <w:end w:w="120" w:type="dxa"/>
            </w:tcMar>
          </w:tcPr>
          <w:p>
            <w:pPr>
              <w:spacing w:after="0" w:line="240" w:lineRule="auto"/>
            </w:pPr>
            <w:r>
              <w:rPr>
                <w:sz w:val="19"/>
              </w:rPr>
              <w:t>Company profile, workforce, engagement, inclusion, safety, and HR priorities.</w:t>
            </w:r>
          </w:p>
        </w:tc>
      </w:tr>
      <w:tr>
        <w:trPr>
          <w:cantSplit w:val="true"/>
        </w:trPr>
        <w:tc>
          <w:tcPr>
            <w:tcW w:type="dxa" w:w="2700"/>
            <w:vAlign w:val="center"/>
            <w:tcMar>
              <w:top w:w="80" w:type="dxa"/>
              <w:start w:w="120" w:type="dxa"/>
              <w:bottom w:w="80" w:type="dxa"/>
              <w:end w:w="120" w:type="dxa"/>
            </w:tcMar>
          </w:tcPr>
          <w:p>
            <w:pPr>
              <w:spacing w:after="0" w:line="240" w:lineRule="auto"/>
            </w:pPr>
            <w:r>
              <w:rPr>
                <w:b/>
                <w:sz w:val="19"/>
              </w:rPr>
              <w:t>Emerson Sustainability Report</w:t>
            </w:r>
          </w:p>
        </w:tc>
        <w:tc>
          <w:tcPr>
            <w:tcW w:type="dxa" w:w="6660"/>
            <w:vAlign w:val="center"/>
            <w:tcMar>
              <w:top w:w="80" w:type="dxa"/>
              <w:start w:w="120" w:type="dxa"/>
              <w:bottom w:w="80" w:type="dxa"/>
              <w:end w:w="120" w:type="dxa"/>
            </w:tcMar>
          </w:tcPr>
          <w:p>
            <w:pPr>
              <w:spacing w:after="0" w:line="240" w:lineRule="auto"/>
            </w:pPr>
            <w:r>
              <w:rPr>
                <w:sz w:val="19"/>
              </w:rPr>
              <w:t>Operational efficiency, employee engagement, safety, and sustainability.</w:t>
            </w:r>
          </w:p>
        </w:tc>
      </w:tr>
      <w:tr>
        <w:trPr>
          <w:cantSplit w:val="true"/>
        </w:trPr>
        <w:tc>
          <w:tcPr>
            <w:tcW w:type="dxa" w:w="2700"/>
            <w:vAlign w:val="center"/>
            <w:tcMar>
              <w:top w:w="80" w:type="dxa"/>
              <w:start w:w="120" w:type="dxa"/>
              <w:bottom w:w="80" w:type="dxa"/>
              <w:end w:w="120" w:type="dxa"/>
            </w:tcMar>
          </w:tcPr>
          <w:p>
            <w:pPr>
              <w:spacing w:after="0" w:line="240" w:lineRule="auto"/>
            </w:pPr>
            <w:r>
              <w:rPr>
                <w:b/>
                <w:sz w:val="19"/>
              </w:rPr>
              <w:t>Emerson Learning and Development</w:t>
            </w:r>
          </w:p>
        </w:tc>
        <w:tc>
          <w:tcPr>
            <w:tcW w:type="dxa" w:w="6660"/>
            <w:vAlign w:val="center"/>
            <w:tcMar>
              <w:top w:w="80" w:type="dxa"/>
              <w:start w:w="120" w:type="dxa"/>
              <w:bottom w:w="80" w:type="dxa"/>
              <w:end w:w="120" w:type="dxa"/>
            </w:tcMar>
          </w:tcPr>
          <w:p>
            <w:pPr>
              <w:spacing w:after="0" w:line="240" w:lineRule="auto"/>
            </w:pPr>
            <w:r>
              <w:rPr>
                <w:sz w:val="19"/>
              </w:rPr>
              <w:t>Learning centers, leadership development, workshops, and Always-On Learning.</w:t>
            </w:r>
          </w:p>
        </w:tc>
      </w:tr>
      <w:tr>
        <w:trPr>
          <w:cantSplit w:val="true"/>
        </w:trPr>
        <w:tc>
          <w:tcPr>
            <w:tcW w:type="dxa" w:w="2700"/>
            <w:vAlign w:val="center"/>
            <w:tcMar>
              <w:top w:w="80" w:type="dxa"/>
              <w:start w:w="120" w:type="dxa"/>
              <w:bottom w:w="80" w:type="dxa"/>
              <w:end w:w="120" w:type="dxa"/>
            </w:tcMar>
          </w:tcPr>
          <w:p>
            <w:pPr>
              <w:spacing w:after="0" w:line="240" w:lineRule="auto"/>
            </w:pPr>
            <w:r>
              <w:rPr>
                <w:b/>
                <w:sz w:val="19"/>
              </w:rPr>
              <w:t>Pulakos et al. (2019)</w:t>
            </w:r>
          </w:p>
        </w:tc>
        <w:tc>
          <w:tcPr>
            <w:tcW w:type="dxa" w:w="6660"/>
            <w:vAlign w:val="center"/>
            <w:tcMar>
              <w:top w:w="80" w:type="dxa"/>
              <w:start w:w="120" w:type="dxa"/>
              <w:bottom w:w="80" w:type="dxa"/>
              <w:end w:w="120" w:type="dxa"/>
            </w:tcMar>
          </w:tcPr>
          <w:p>
            <w:pPr>
              <w:spacing w:after="0" w:line="240" w:lineRule="auto"/>
            </w:pPr>
            <w:r>
              <w:rPr>
                <w:sz w:val="19"/>
              </w:rPr>
              <w:t>Goal setting, real-time feedback, coaching, and streamlined performance management.</w:t>
            </w:r>
          </w:p>
        </w:tc>
      </w:tr>
    </w:tbl>
    <w:p>
      <w:pPr>
        <w:pStyle w:val="Heading1"/>
      </w:pPr>
      <w:r>
        <w:t>4. Exact 1,500-word budget</w:t>
      </w:r>
    </w:p>
    <w:tbl>
      <w:tblPr>
        <w:tblStyle w:val="TableGrid"/>
        <w:tblW w:type="dxa" w:w="9360"/>
        <w:jc w:val="left"/>
        <w:tblLayout w:type="fixed"/>
        <w:tblLook w:firstColumn="1" w:firstRow="1" w:lastColumn="0" w:lastRow="0" w:noHBand="0" w:noVBand="1" w:val="04A0"/>
        <w:tblInd w:w="120" w:type="dxa"/>
      </w:tblPr>
      <w:tblGrid>
        <w:gridCol w:w="900"/>
        <w:gridCol w:w="6660"/>
        <w:gridCol w:w="1800"/>
      </w:tblGrid>
      <w:tr>
        <w:trPr>
          <w:tblHeader w:val="true"/>
          <w:cantSplit w:val="true"/>
        </w:trPr>
        <w:tc>
          <w:tcPr>
            <w:tcW w:type="dxa" w:w="900"/>
            <w:vAlign w:val="center"/>
            <w:tcMar>
              <w:top w:w="80" w:type="dxa"/>
              <w:start w:w="120" w:type="dxa"/>
              <w:bottom w:w="80" w:type="dxa"/>
              <w:end w:w="120" w:type="dxa"/>
            </w:tcMar>
            <w:shd w:fill="E8EEF5"/>
          </w:tcPr>
          <w:p>
            <w:r>
              <w:rPr>
                <w:rFonts w:ascii="Calibri" w:hAnsi="Calibri"/>
                <w:b/>
                <w:color w:val="203748"/>
                <w:sz w:val="22"/>
              </w:rPr>
              <w:t>No.</w:t>
            </w:r>
          </w:p>
        </w:tc>
        <w:tc>
          <w:tcPr>
            <w:tcW w:type="dxa" w:w="6660"/>
            <w:vAlign w:val="center"/>
            <w:tcMar>
              <w:top w:w="80" w:type="dxa"/>
              <w:start w:w="120" w:type="dxa"/>
              <w:bottom w:w="80" w:type="dxa"/>
              <w:end w:w="120" w:type="dxa"/>
            </w:tcMar>
            <w:shd w:fill="E8EEF5"/>
          </w:tcPr>
          <w:p>
            <w:r>
              <w:rPr>
                <w:rFonts w:ascii="Calibri" w:hAnsi="Calibri"/>
                <w:b/>
                <w:color w:val="203748"/>
                <w:sz w:val="22"/>
              </w:rPr>
              <w:t>Paragraph</w:t>
            </w:r>
          </w:p>
        </w:tc>
        <w:tc>
          <w:tcPr>
            <w:tcW w:type="dxa" w:w="1800"/>
            <w:vAlign w:val="center"/>
            <w:tcMar>
              <w:top w:w="80" w:type="dxa"/>
              <w:start w:w="120" w:type="dxa"/>
              <w:bottom w:w="80" w:type="dxa"/>
              <w:end w:w="120" w:type="dxa"/>
            </w:tcMar>
            <w:shd w:fill="E8EEF5"/>
          </w:tcPr>
          <w:p>
            <w:r>
              <w:rPr>
                <w:rFonts w:ascii="Calibri" w:hAnsi="Calibri"/>
                <w:b/>
                <w:color w:val="203748"/>
                <w:sz w:val="22"/>
              </w:rPr>
              <w:t>Words</w:t>
            </w:r>
          </w:p>
        </w:tc>
      </w:tr>
      <w:tr>
        <w:trPr>
          <w:cantSplit w:val="true"/>
        </w:trPr>
        <w:tc>
          <w:tcPr>
            <w:tcW w:type="dxa" w:w="900"/>
            <w:vAlign w:val="center"/>
            <w:tcMar>
              <w:top w:w="80" w:type="dxa"/>
              <w:start w:w="120" w:type="dxa"/>
              <w:bottom w:w="80" w:type="dxa"/>
              <w:end w:w="120" w:type="dxa"/>
            </w:tcMar>
          </w:tcPr>
          <w:p>
            <w:r>
              <w:t>1</w:t>
            </w:r>
          </w:p>
        </w:tc>
        <w:tc>
          <w:tcPr>
            <w:tcW w:type="dxa" w:w="6660"/>
            <w:vAlign w:val="center"/>
            <w:tcMar>
              <w:top w:w="80" w:type="dxa"/>
              <w:start w:w="120" w:type="dxa"/>
              <w:bottom w:w="80" w:type="dxa"/>
              <w:end w:w="120" w:type="dxa"/>
            </w:tcMar>
          </w:tcPr>
          <w:p>
            <w:r>
              <w:t>Organization overview</w:t>
            </w:r>
          </w:p>
        </w:tc>
        <w:tc>
          <w:tcPr>
            <w:tcW w:type="dxa" w:w="1800"/>
            <w:vAlign w:val="center"/>
            <w:tcMar>
              <w:top w:w="80" w:type="dxa"/>
              <w:start w:w="120" w:type="dxa"/>
              <w:bottom w:w="80" w:type="dxa"/>
              <w:end w:w="120" w:type="dxa"/>
            </w:tcMar>
          </w:tcPr>
          <w:p>
            <w:pPr>
              <w:jc w:val="center"/>
            </w:pPr>
            <w:r>
              <w:t>140</w:t>
            </w:r>
          </w:p>
        </w:tc>
      </w:tr>
      <w:tr>
        <w:trPr>
          <w:cantSplit w:val="true"/>
        </w:trPr>
        <w:tc>
          <w:tcPr>
            <w:tcW w:type="dxa" w:w="900"/>
            <w:vAlign w:val="center"/>
            <w:tcMar>
              <w:top w:w="80" w:type="dxa"/>
              <w:start w:w="120" w:type="dxa"/>
              <w:bottom w:w="80" w:type="dxa"/>
              <w:end w:w="120" w:type="dxa"/>
            </w:tcMar>
          </w:tcPr>
          <w:p>
            <w:r>
              <w:t>2</w:t>
            </w:r>
          </w:p>
        </w:tc>
        <w:tc>
          <w:tcPr>
            <w:tcW w:type="dxa" w:w="6660"/>
            <w:vAlign w:val="center"/>
            <w:tcMar>
              <w:top w:w="80" w:type="dxa"/>
              <w:start w:w="120" w:type="dxa"/>
              <w:bottom w:w="80" w:type="dxa"/>
              <w:end w:w="120" w:type="dxa"/>
            </w:tcMar>
          </w:tcPr>
          <w:p>
            <w:r>
              <w:t>Importance of performance management and thesis</w:t>
            </w:r>
          </w:p>
        </w:tc>
        <w:tc>
          <w:tcPr>
            <w:tcW w:type="dxa" w:w="1800"/>
            <w:vAlign w:val="center"/>
            <w:tcMar>
              <w:top w:w="80" w:type="dxa"/>
              <w:start w:w="120" w:type="dxa"/>
              <w:bottom w:w="80" w:type="dxa"/>
              <w:end w:w="120" w:type="dxa"/>
            </w:tcMar>
          </w:tcPr>
          <w:p>
            <w:pPr>
              <w:jc w:val="center"/>
            </w:pPr>
            <w:r>
              <w:t>130</w:t>
            </w:r>
          </w:p>
        </w:tc>
      </w:tr>
      <w:tr>
        <w:trPr>
          <w:cantSplit w:val="true"/>
        </w:trPr>
        <w:tc>
          <w:tcPr>
            <w:tcW w:type="dxa" w:w="900"/>
            <w:vAlign w:val="center"/>
            <w:tcMar>
              <w:top w:w="80" w:type="dxa"/>
              <w:start w:w="120" w:type="dxa"/>
              <w:bottom w:w="80" w:type="dxa"/>
              <w:end w:w="120" w:type="dxa"/>
            </w:tcMar>
          </w:tcPr>
          <w:p>
            <w:r>
              <w:t>3</w:t>
            </w:r>
          </w:p>
        </w:tc>
        <w:tc>
          <w:tcPr>
            <w:tcW w:type="dxa" w:w="6660"/>
            <w:vAlign w:val="center"/>
            <w:tcMar>
              <w:top w:w="80" w:type="dxa"/>
              <w:start w:w="120" w:type="dxa"/>
              <w:bottom w:w="80" w:type="dxa"/>
              <w:end w:w="120" w:type="dxa"/>
            </w:tcMar>
          </w:tcPr>
          <w:p>
            <w:r>
              <w:t>Step 1: company, department, and diversity outcomes</w:t>
            </w:r>
          </w:p>
        </w:tc>
        <w:tc>
          <w:tcPr>
            <w:tcW w:type="dxa" w:w="1800"/>
            <w:vAlign w:val="center"/>
            <w:tcMar>
              <w:top w:w="80" w:type="dxa"/>
              <w:start w:w="120" w:type="dxa"/>
              <w:bottom w:w="80" w:type="dxa"/>
              <w:end w:w="120" w:type="dxa"/>
            </w:tcMar>
          </w:tcPr>
          <w:p>
            <w:pPr>
              <w:jc w:val="center"/>
            </w:pPr>
            <w:r>
              <w:t>160</w:t>
            </w:r>
          </w:p>
        </w:tc>
      </w:tr>
      <w:tr>
        <w:trPr>
          <w:cantSplit w:val="true"/>
        </w:trPr>
        <w:tc>
          <w:tcPr>
            <w:tcW w:type="dxa" w:w="900"/>
            <w:vAlign w:val="center"/>
            <w:tcMar>
              <w:top w:w="80" w:type="dxa"/>
              <w:start w:w="120" w:type="dxa"/>
              <w:bottom w:w="80" w:type="dxa"/>
              <w:end w:w="120" w:type="dxa"/>
            </w:tcMar>
          </w:tcPr>
          <w:p>
            <w:r>
              <w:t>4</w:t>
            </w:r>
          </w:p>
        </w:tc>
        <w:tc>
          <w:tcPr>
            <w:tcW w:type="dxa" w:w="6660"/>
            <w:vAlign w:val="center"/>
            <w:tcMar>
              <w:top w:w="80" w:type="dxa"/>
              <w:start w:w="120" w:type="dxa"/>
              <w:bottom w:w="80" w:type="dxa"/>
              <w:end w:w="120" w:type="dxa"/>
            </w:tcMar>
          </w:tcPr>
          <w:p>
            <w:r>
              <w:t>Step 2: employee goals, behaviors, and actions</w:t>
            </w:r>
          </w:p>
        </w:tc>
        <w:tc>
          <w:tcPr>
            <w:tcW w:type="dxa" w:w="1800"/>
            <w:vAlign w:val="center"/>
            <w:tcMar>
              <w:top w:w="80" w:type="dxa"/>
              <w:start w:w="120" w:type="dxa"/>
              <w:bottom w:w="80" w:type="dxa"/>
              <w:end w:w="120" w:type="dxa"/>
            </w:tcMar>
          </w:tcPr>
          <w:p>
            <w:pPr>
              <w:jc w:val="center"/>
            </w:pPr>
            <w:r>
              <w:t>125</w:t>
            </w:r>
          </w:p>
        </w:tc>
      </w:tr>
      <w:tr>
        <w:trPr>
          <w:cantSplit w:val="true"/>
        </w:trPr>
        <w:tc>
          <w:tcPr>
            <w:tcW w:type="dxa" w:w="900"/>
            <w:vAlign w:val="center"/>
            <w:tcMar>
              <w:top w:w="80" w:type="dxa"/>
              <w:start w:w="120" w:type="dxa"/>
              <w:bottom w:w="80" w:type="dxa"/>
              <w:end w:w="120" w:type="dxa"/>
            </w:tcMar>
          </w:tcPr>
          <w:p>
            <w:r>
              <w:t>5</w:t>
            </w:r>
          </w:p>
        </w:tc>
        <w:tc>
          <w:tcPr>
            <w:tcW w:type="dxa" w:w="6660"/>
            <w:vAlign w:val="center"/>
            <w:tcMar>
              <w:top w:w="80" w:type="dxa"/>
              <w:start w:w="120" w:type="dxa"/>
              <w:bottom w:w="80" w:type="dxa"/>
              <w:end w:w="120" w:type="dxa"/>
            </w:tcMar>
          </w:tcPr>
          <w:p>
            <w:r>
              <w:t>Step 3: support, supervision, and discussions</w:t>
            </w:r>
          </w:p>
        </w:tc>
        <w:tc>
          <w:tcPr>
            <w:tcW w:type="dxa" w:w="1800"/>
            <w:vAlign w:val="center"/>
            <w:tcMar>
              <w:top w:w="80" w:type="dxa"/>
              <w:start w:w="120" w:type="dxa"/>
              <w:bottom w:w="80" w:type="dxa"/>
              <w:end w:w="120" w:type="dxa"/>
            </w:tcMar>
          </w:tcPr>
          <w:p>
            <w:pPr>
              <w:jc w:val="center"/>
            </w:pPr>
            <w:r>
              <w:t>125</w:t>
            </w:r>
          </w:p>
        </w:tc>
      </w:tr>
      <w:tr>
        <w:trPr>
          <w:cantSplit w:val="true"/>
        </w:trPr>
        <w:tc>
          <w:tcPr>
            <w:tcW w:type="dxa" w:w="900"/>
            <w:vAlign w:val="center"/>
            <w:tcMar>
              <w:top w:w="80" w:type="dxa"/>
              <w:start w:w="120" w:type="dxa"/>
              <w:bottom w:w="80" w:type="dxa"/>
              <w:end w:w="120" w:type="dxa"/>
            </w:tcMar>
          </w:tcPr>
          <w:p>
            <w:r>
              <w:t>6</w:t>
            </w:r>
          </w:p>
        </w:tc>
        <w:tc>
          <w:tcPr>
            <w:tcW w:type="dxa" w:w="6660"/>
            <w:vAlign w:val="center"/>
            <w:tcMar>
              <w:top w:w="80" w:type="dxa"/>
              <w:start w:w="120" w:type="dxa"/>
              <w:bottom w:w="80" w:type="dxa"/>
              <w:end w:w="120" w:type="dxa"/>
            </w:tcMar>
          </w:tcPr>
          <w:p>
            <w:r>
              <w:t>Step 4: evaluate employee performance</w:t>
            </w:r>
          </w:p>
        </w:tc>
        <w:tc>
          <w:tcPr>
            <w:tcW w:type="dxa" w:w="1800"/>
            <w:vAlign w:val="center"/>
            <w:tcMar>
              <w:top w:w="80" w:type="dxa"/>
              <w:start w:w="120" w:type="dxa"/>
              <w:bottom w:w="80" w:type="dxa"/>
              <w:end w:w="120" w:type="dxa"/>
            </w:tcMar>
          </w:tcPr>
          <w:p>
            <w:pPr>
              <w:jc w:val="center"/>
            </w:pPr>
            <w:r>
              <w:t>135</w:t>
            </w:r>
          </w:p>
        </w:tc>
      </w:tr>
      <w:tr>
        <w:trPr>
          <w:cantSplit w:val="true"/>
        </w:trPr>
        <w:tc>
          <w:tcPr>
            <w:tcW w:type="dxa" w:w="900"/>
            <w:vAlign w:val="center"/>
            <w:tcMar>
              <w:top w:w="80" w:type="dxa"/>
              <w:start w:w="120" w:type="dxa"/>
              <w:bottom w:w="80" w:type="dxa"/>
              <w:end w:w="120" w:type="dxa"/>
            </w:tcMar>
          </w:tcPr>
          <w:p>
            <w:r>
              <w:t>7</w:t>
            </w:r>
          </w:p>
        </w:tc>
        <w:tc>
          <w:tcPr>
            <w:tcW w:type="dxa" w:w="6660"/>
            <w:vAlign w:val="center"/>
            <w:tcMar>
              <w:top w:w="80" w:type="dxa"/>
              <w:start w:w="120" w:type="dxa"/>
              <w:bottom w:w="80" w:type="dxa"/>
              <w:end w:w="120" w:type="dxa"/>
            </w:tcMar>
          </w:tcPr>
          <w:p>
            <w:r>
              <w:t>Step 5: identify improvements</w:t>
            </w:r>
          </w:p>
        </w:tc>
        <w:tc>
          <w:tcPr>
            <w:tcW w:type="dxa" w:w="1800"/>
            <w:vAlign w:val="center"/>
            <w:tcMar>
              <w:top w:w="80" w:type="dxa"/>
              <w:start w:w="120" w:type="dxa"/>
              <w:bottom w:w="80" w:type="dxa"/>
              <w:end w:w="120" w:type="dxa"/>
            </w:tcMar>
          </w:tcPr>
          <w:p>
            <w:pPr>
              <w:jc w:val="center"/>
            </w:pPr>
            <w:r>
              <w:t>105</w:t>
            </w:r>
          </w:p>
        </w:tc>
      </w:tr>
      <w:tr>
        <w:trPr>
          <w:cantSplit w:val="true"/>
        </w:trPr>
        <w:tc>
          <w:tcPr>
            <w:tcW w:type="dxa" w:w="900"/>
            <w:vAlign w:val="center"/>
            <w:tcMar>
              <w:top w:w="80" w:type="dxa"/>
              <w:start w:w="120" w:type="dxa"/>
              <w:bottom w:w="80" w:type="dxa"/>
              <w:end w:w="120" w:type="dxa"/>
            </w:tcMar>
          </w:tcPr>
          <w:p>
            <w:r>
              <w:t>8</w:t>
            </w:r>
          </w:p>
        </w:tc>
        <w:tc>
          <w:tcPr>
            <w:tcW w:type="dxa" w:w="6660"/>
            <w:vAlign w:val="center"/>
            <w:tcMar>
              <w:top w:w="80" w:type="dxa"/>
              <w:start w:w="120" w:type="dxa"/>
              <w:bottom w:w="80" w:type="dxa"/>
              <w:end w:w="120" w:type="dxa"/>
            </w:tcMar>
          </w:tcPr>
          <w:p>
            <w:r>
              <w:t>Step 6: consequences for results</w:t>
            </w:r>
          </w:p>
        </w:tc>
        <w:tc>
          <w:tcPr>
            <w:tcW w:type="dxa" w:w="1800"/>
            <w:vAlign w:val="center"/>
            <w:tcMar>
              <w:top w:w="80" w:type="dxa"/>
              <w:start w:w="120" w:type="dxa"/>
              <w:bottom w:w="80" w:type="dxa"/>
              <w:end w:w="120" w:type="dxa"/>
            </w:tcMar>
          </w:tcPr>
          <w:p>
            <w:pPr>
              <w:jc w:val="center"/>
            </w:pPr>
            <w:r>
              <w:t>100</w:t>
            </w:r>
          </w:p>
        </w:tc>
      </w:tr>
      <w:tr>
        <w:trPr>
          <w:cantSplit w:val="true"/>
        </w:trPr>
        <w:tc>
          <w:tcPr>
            <w:tcW w:type="dxa" w:w="900"/>
            <w:vAlign w:val="center"/>
            <w:tcMar>
              <w:top w:w="80" w:type="dxa"/>
              <w:start w:w="120" w:type="dxa"/>
              <w:bottom w:w="80" w:type="dxa"/>
              <w:end w:w="120" w:type="dxa"/>
            </w:tcMar>
          </w:tcPr>
          <w:p>
            <w:r>
              <w:t>9</w:t>
            </w:r>
          </w:p>
        </w:tc>
        <w:tc>
          <w:tcPr>
            <w:tcW w:type="dxa" w:w="6660"/>
            <w:vAlign w:val="center"/>
            <w:tcMar>
              <w:top w:w="80" w:type="dxa"/>
              <w:start w:w="120" w:type="dxa"/>
              <w:bottom w:w="80" w:type="dxa"/>
              <w:end w:w="120" w:type="dxa"/>
            </w:tcMar>
          </w:tcPr>
          <w:p>
            <w:r>
              <w:t>Training strengths, weaknesses, and revisions</w:t>
            </w:r>
          </w:p>
        </w:tc>
        <w:tc>
          <w:tcPr>
            <w:tcW w:type="dxa" w:w="1800"/>
            <w:vAlign w:val="center"/>
            <w:tcMar>
              <w:top w:w="80" w:type="dxa"/>
              <w:start w:w="120" w:type="dxa"/>
              <w:bottom w:w="80" w:type="dxa"/>
              <w:end w:w="120" w:type="dxa"/>
            </w:tcMar>
          </w:tcPr>
          <w:p>
            <w:pPr>
              <w:jc w:val="center"/>
            </w:pPr>
            <w:r>
              <w:t>180</w:t>
            </w:r>
          </w:p>
        </w:tc>
      </w:tr>
      <w:tr>
        <w:trPr>
          <w:cantSplit w:val="true"/>
        </w:trPr>
        <w:tc>
          <w:tcPr>
            <w:tcW w:type="dxa" w:w="900"/>
            <w:vAlign w:val="center"/>
            <w:tcMar>
              <w:top w:w="80" w:type="dxa"/>
              <w:start w:w="120" w:type="dxa"/>
              <w:bottom w:w="80" w:type="dxa"/>
              <w:end w:w="120" w:type="dxa"/>
            </w:tcMar>
          </w:tcPr>
          <w:p>
            <w:r>
              <w:t>10</w:t>
            </w:r>
          </w:p>
        </w:tc>
        <w:tc>
          <w:tcPr>
            <w:tcW w:type="dxa" w:w="6660"/>
            <w:vAlign w:val="center"/>
            <w:tcMar>
              <w:top w:w="80" w:type="dxa"/>
              <w:start w:w="120" w:type="dxa"/>
              <w:bottom w:w="80" w:type="dxa"/>
              <w:end w:w="120" w:type="dxa"/>
            </w:tcMar>
          </w:tcPr>
          <w:p>
            <w:r>
              <w:t>Effect on employee retention</w:t>
            </w:r>
          </w:p>
        </w:tc>
        <w:tc>
          <w:tcPr>
            <w:tcW w:type="dxa" w:w="1800"/>
            <w:vAlign w:val="center"/>
            <w:tcMar>
              <w:top w:w="80" w:type="dxa"/>
              <w:start w:w="120" w:type="dxa"/>
              <w:bottom w:w="80" w:type="dxa"/>
              <w:end w:w="120" w:type="dxa"/>
            </w:tcMar>
          </w:tcPr>
          <w:p>
            <w:pPr>
              <w:jc w:val="center"/>
            </w:pPr>
            <w:r>
              <w:t>120</w:t>
            </w:r>
          </w:p>
        </w:tc>
      </w:tr>
      <w:tr>
        <w:trPr>
          <w:cantSplit w:val="true"/>
        </w:trPr>
        <w:tc>
          <w:tcPr>
            <w:tcW w:type="dxa" w:w="900"/>
            <w:vAlign w:val="center"/>
            <w:tcMar>
              <w:top w:w="80" w:type="dxa"/>
              <w:start w:w="120" w:type="dxa"/>
              <w:bottom w:w="80" w:type="dxa"/>
              <w:end w:w="120" w:type="dxa"/>
            </w:tcMar>
          </w:tcPr>
          <w:p>
            <w:r>
              <w:t>11</w:t>
            </w:r>
          </w:p>
        </w:tc>
        <w:tc>
          <w:tcPr>
            <w:tcW w:type="dxa" w:w="6660"/>
            <w:vAlign w:val="center"/>
            <w:tcMar>
              <w:top w:w="80" w:type="dxa"/>
              <w:start w:w="120" w:type="dxa"/>
              <w:bottom w:w="80" w:type="dxa"/>
              <w:end w:w="120" w:type="dxa"/>
            </w:tcMar>
          </w:tcPr>
          <w:p>
            <w:r>
              <w:t>Conclusion and competitive advantage</w:t>
            </w:r>
          </w:p>
        </w:tc>
        <w:tc>
          <w:tcPr>
            <w:tcW w:type="dxa" w:w="1800"/>
            <w:vAlign w:val="center"/>
            <w:tcMar>
              <w:top w:w="80" w:type="dxa"/>
              <w:start w:w="120" w:type="dxa"/>
              <w:bottom w:w="80" w:type="dxa"/>
              <w:end w:w="120" w:type="dxa"/>
            </w:tcMar>
          </w:tcPr>
          <w:p>
            <w:pPr>
              <w:jc w:val="center"/>
            </w:pPr>
            <w:r>
              <w:t>180</w:t>
            </w:r>
          </w:p>
        </w:tc>
      </w:tr>
      <w:tr>
        <w:trPr>
          <w:cantSplit w:val="true"/>
        </w:trPr>
        <w:tc>
          <w:tcPr>
            <w:tcW w:type="dxa" w:w="900"/>
            <w:shd w:fill="F2F4F7"/>
            <w:vAlign w:val="center"/>
            <w:tcMar>
              <w:top w:w="80" w:type="dxa"/>
              <w:start w:w="120" w:type="dxa"/>
              <w:bottom w:w="80" w:type="dxa"/>
              <w:end w:w="120" w:type="dxa"/>
            </w:tcMar>
          </w:tcPr>
          <w:p>
            <w:r/>
          </w:p>
        </w:tc>
        <w:tc>
          <w:tcPr>
            <w:tcW w:type="dxa" w:w="6660"/>
            <w:shd w:fill="F2F4F7"/>
            <w:vAlign w:val="center"/>
            <w:tcMar>
              <w:top w:w="80" w:type="dxa"/>
              <w:start w:w="120" w:type="dxa"/>
              <w:bottom w:w="80" w:type="dxa"/>
              <w:end w:w="120" w:type="dxa"/>
            </w:tcMar>
          </w:tcPr>
          <w:p>
            <w:r>
              <w:rPr>
                <w:b/>
              </w:rPr>
              <w:t>Total</w:t>
            </w:r>
          </w:p>
        </w:tc>
        <w:tc>
          <w:tcPr>
            <w:tcW w:type="dxa" w:w="1800"/>
            <w:shd w:fill="F2F4F7"/>
            <w:vAlign w:val="center"/>
            <w:tcMar>
              <w:top w:w="80" w:type="dxa"/>
              <w:start w:w="120" w:type="dxa"/>
              <w:bottom w:w="80" w:type="dxa"/>
              <w:end w:w="120" w:type="dxa"/>
            </w:tcMar>
          </w:tcPr>
          <w:p>
            <w:pPr>
              <w:jc w:val="center"/>
            </w:pPr>
            <w:r>
              <w:rPr>
                <w:b/>
              </w:rPr>
              <w:t>1,500</w:t>
            </w:r>
          </w:p>
        </w:tc>
      </w:tr>
    </w:tbl>
    <w:p>
      <w:pPr>
        <w:pStyle w:val="Heading1"/>
      </w:pPr>
      <w:r>
        <w:t>5. Paragraph-by-paragraph working draft</w:t>
      </w:r>
    </w:p>
    <w:p>
      <w:pPr>
        <w:pStyle w:val="Heading2"/>
        <w:keepNext/>
      </w:pPr>
      <w:r>
        <w:t>1. Organization overview — 140 words</w:t>
      </w:r>
    </w:p>
    <w:p>
      <w:pPr>
        <w:spacing w:after="100" w:line="300" w:lineRule="auto"/>
      </w:pPr>
      <w:r>
        <w:rPr>
          <w:rFonts w:ascii="Calibri" w:hAnsi="Calibri"/>
          <w:b/>
          <w:color w:val="1F4D78"/>
          <w:sz w:val="22"/>
        </w:rPr>
        <w:t xml:space="preserve">Job: </w:t>
      </w:r>
      <w:r>
        <w:rPr>
          <w:rFonts w:ascii="Calibri" w:hAnsi="Calibri"/>
          <w:color w:val="000000"/>
          <w:sz w:val="22"/>
        </w:rPr>
        <w:t>Introduce Emerson, establish eligibility, and identify the selected department.</w:t>
      </w:r>
    </w:p>
    <w:p>
      <w:pPr>
        <w:spacing w:after="100" w:line="300" w:lineRule="auto"/>
      </w:pPr>
      <w:r>
        <w:rPr>
          <w:rFonts w:ascii="Calibri" w:hAnsi="Calibri"/>
          <w:b/>
          <w:color w:val="1F4D78"/>
          <w:sz w:val="22"/>
        </w:rPr>
        <w:t xml:space="preserve">Cover: </w:t>
      </w:r>
      <w:r>
        <w:rPr>
          <w:rFonts w:ascii="Calibri" w:hAnsi="Calibri"/>
          <w:color w:val="000000"/>
          <w:sz w:val="22"/>
        </w:rPr>
        <w:t>Name Emerson Electric Co.; state that it is publicly traded under NYSE: EMR; describe it as a global technology and automation company; identify Manufacturing and Operations within Discrete Automation; mention approximately 71,000 employees in 2025.</w:t>
      </w:r>
    </w:p>
    <w:p>
      <w:pPr>
        <w:spacing w:after="100" w:line="300" w:lineRule="auto"/>
      </w:pPr>
      <w:r>
        <w:rPr>
          <w:rFonts w:ascii="Calibri" w:hAnsi="Calibri"/>
          <w:b/>
          <w:color w:val="1F4D78"/>
          <w:sz w:val="22"/>
        </w:rPr>
        <w:t xml:space="preserve">Use/source(s): </w:t>
      </w:r>
      <w:r>
        <w:rPr>
          <w:rFonts w:ascii="Calibri" w:hAnsi="Calibri"/>
          <w:color w:val="000000"/>
          <w:sz w:val="22"/>
        </w:rPr>
        <w:t>Emerson 2025 Form 10-K.</w:t>
      </w:r>
    </w:p>
    <w:tbl>
      <w:tblPr>
        <w:tblStyle w:val="TableGrid"/>
        <w:tblW w:type="dxa" w:w="9360"/>
        <w:jc w:val="left"/>
        <w:tblLayout w:type="fixed"/>
        <w:tblLook w:firstColumn="1" w:firstRow="1" w:lastColumn="0" w:lastRow="0" w:noHBand="0" w:noVBand="1" w:val="04A0"/>
        <w:tblInd w:w="120" w:type="dxa"/>
      </w:tblPr>
      <w:tblGrid>
        <w:gridCol w:w="9360"/>
      </w:tblGrid>
      <w:tr>
        <w:trPr>
          <w:tblHeader w:val="true"/>
          <w:cantSplit w:val="true"/>
        </w:trPr>
        <w:tc>
          <w:tcPr>
            <w:tcW w:type="dxa" w:w="9360"/>
            <w:vAlign w:val="center"/>
            <w:tcMar>
              <w:top w:w="80" w:type="dxa"/>
              <w:start w:w="120" w:type="dxa"/>
              <w:bottom w:w="80" w:type="dxa"/>
              <w:end w:w="120" w:type="dxa"/>
            </w:tcMar>
            <w:shd w:fill="F7F9FC"/>
          </w:tcPr>
          <w:p>
            <w:pPr>
              <w:spacing w:after="100" w:line="300" w:lineRule="auto"/>
            </w:pPr>
            <w:r>
              <w:rPr>
                <w:rFonts w:ascii="Calibri" w:hAnsi="Calibri"/>
                <w:b/>
                <w:color w:val="1F4D78"/>
                <w:sz w:val="22"/>
              </w:rPr>
              <w:t xml:space="preserve">Draft-ready idea: </w:t>
            </w:r>
            <w:r>
              <w:rPr>
                <w:rFonts w:ascii="Calibri" w:hAnsi="Calibri"/>
                <w:color w:val="000000"/>
                <w:sz w:val="22"/>
              </w:rPr>
              <w:t>“Emerson Electric Co., referred to in this plan as Emerson Solutions, is a publicly traded global technology and automation company. Through its automation portfolio, Emerson helps industrial organizations…”</w:t>
            </w:r>
          </w:p>
        </w:tc>
      </w:tr>
    </w:tbl>
    <w:p>
      <w:pPr>
        <w:spacing w:after="100" w:line="300" w:lineRule="auto"/>
      </w:pPr>
      <w:r>
        <w:rPr>
          <w:rFonts w:ascii="Calibri" w:hAnsi="Calibri"/>
          <w:b/>
          <w:color w:val="1F4D78"/>
          <w:sz w:val="22"/>
        </w:rPr>
        <w:t xml:space="preserve">Must include: </w:t>
      </w:r>
      <w:r>
        <w:rPr>
          <w:rFonts w:ascii="Calibri" w:hAnsi="Calibri"/>
          <w:color w:val="000000"/>
          <w:sz w:val="22"/>
        </w:rPr>
        <w:t>Explain the role of the selected unit instead of trying to cover every Emerson employee.</w:t>
      </w:r>
    </w:p>
    <w:p>
      <w:pPr>
        <w:spacing w:after="100" w:line="300" w:lineRule="auto"/>
      </w:pPr>
      <w:r>
        <w:rPr>
          <w:rFonts w:ascii="Calibri" w:hAnsi="Calibri"/>
          <w:b/>
          <w:color w:val="1F4D78"/>
          <w:sz w:val="22"/>
        </w:rPr>
        <w:t xml:space="preserve">Example to add: </w:t>
      </w:r>
      <w:r>
        <w:rPr>
          <w:rFonts w:ascii="Calibri" w:hAnsi="Calibri"/>
          <w:color w:val="000000"/>
          <w:sz w:val="22"/>
        </w:rPr>
        <w:t>Discrete Automation manufactures products such as valves, actuators, control systems, electrical equipment, and automation software.</w:t>
      </w:r>
    </w:p>
    <w:p>
      <w:pPr>
        <w:spacing w:after="100" w:line="300" w:lineRule="auto"/>
      </w:pPr>
      <w:r>
        <w:rPr>
          <w:rFonts w:ascii="Calibri" w:hAnsi="Calibri"/>
          <w:b/>
          <w:color w:val="1F4D78"/>
          <w:sz w:val="22"/>
        </w:rPr>
        <w:t xml:space="preserve">Citation reminder: </w:t>
      </w:r>
      <w:r>
        <w:rPr>
          <w:rFonts w:ascii="Calibri" w:hAnsi="Calibri"/>
          <w:color w:val="000000"/>
          <w:sz w:val="22"/>
        </w:rPr>
        <w:t>Place (Emerson Electric Co., 2025) after the company description and employee count.</w:t>
      </w:r>
    </w:p>
    <w:p>
      <w:pPr>
        <w:spacing w:after="100" w:line="300" w:lineRule="auto"/>
      </w:pPr>
      <w:r>
        <w:rPr>
          <w:rFonts w:ascii="Calibri" w:hAnsi="Calibri"/>
          <w:b/>
          <w:color w:val="1F4D78"/>
          <w:sz w:val="22"/>
        </w:rPr>
        <w:t xml:space="preserve">Rubric target: </w:t>
      </w:r>
      <w:r>
        <w:rPr>
          <w:rFonts w:ascii="Calibri" w:hAnsi="Calibri"/>
          <w:color w:val="000000"/>
          <w:sz w:val="22"/>
        </w:rPr>
        <w:t>Organization summary and eligible publicly traded organization.</w:t>
      </w:r>
    </w:p>
    <w:p>
      <w:pPr>
        <w:pStyle w:val="Heading2"/>
        <w:keepNext/>
      </w:pPr>
      <w:r>
        <w:t>2. Importance of performance management and thesis — 130 words</w:t>
      </w:r>
    </w:p>
    <w:p>
      <w:pPr>
        <w:spacing w:after="100" w:line="300" w:lineRule="auto"/>
      </w:pPr>
      <w:r>
        <w:rPr>
          <w:rFonts w:ascii="Calibri" w:hAnsi="Calibri"/>
          <w:b/>
          <w:color w:val="1F4D78"/>
          <w:sz w:val="22"/>
        </w:rPr>
        <w:t xml:space="preserve">Job: </w:t>
      </w:r>
      <w:r>
        <w:rPr>
          <w:rFonts w:ascii="Calibri" w:hAnsi="Calibri"/>
          <w:color w:val="000000"/>
          <w:sz w:val="22"/>
        </w:rPr>
        <w:t>Explain why performance management matters at Emerson and state the controlling claim.</w:t>
      </w:r>
    </w:p>
    <w:p>
      <w:pPr>
        <w:spacing w:after="100" w:line="300" w:lineRule="auto"/>
      </w:pPr>
      <w:r>
        <w:rPr>
          <w:rFonts w:ascii="Calibri" w:hAnsi="Calibri"/>
          <w:b/>
          <w:color w:val="1F4D78"/>
          <w:sz w:val="22"/>
        </w:rPr>
        <w:t xml:space="preserve">Cover: </w:t>
      </w:r>
      <w:r>
        <w:rPr>
          <w:rFonts w:ascii="Calibri" w:hAnsi="Calibri"/>
          <w:color w:val="000000"/>
          <w:sz w:val="22"/>
        </w:rPr>
        <w:t>Define performance management; distinguish it from annual appraisal; connect technical employee performance with quality, delivery, safety, customer trust, cost, innovation, and HR goals; finish with the thesis.</w:t>
      </w:r>
    </w:p>
    <w:p>
      <w:pPr>
        <w:spacing w:after="100" w:line="300" w:lineRule="auto"/>
      </w:pPr>
      <w:r>
        <w:rPr>
          <w:rFonts w:ascii="Calibri" w:hAnsi="Calibri"/>
          <w:b/>
          <w:color w:val="1F4D78"/>
          <w:sz w:val="22"/>
        </w:rPr>
        <w:t xml:space="preserve">Use/source(s): </w:t>
      </w:r>
      <w:r>
        <w:rPr>
          <w:rFonts w:ascii="Calibri" w:hAnsi="Calibri"/>
          <w:color w:val="000000"/>
          <w:sz w:val="22"/>
        </w:rPr>
        <w:t>Noe et al., Chapter 8; Pulakos et al. (2019).</w:t>
      </w:r>
    </w:p>
    <w:tbl>
      <w:tblPr>
        <w:tblStyle w:val="TableGrid"/>
        <w:tblW w:type="dxa" w:w="9360"/>
        <w:jc w:val="left"/>
        <w:tblLayout w:type="fixed"/>
        <w:tblLook w:firstColumn="1" w:firstRow="1" w:lastColumn="0" w:lastRow="0" w:noHBand="0" w:noVBand="1" w:val="04A0"/>
        <w:tblInd w:w="120" w:type="dxa"/>
      </w:tblPr>
      <w:tblGrid>
        <w:gridCol w:w="9360"/>
      </w:tblGrid>
      <w:tr>
        <w:trPr>
          <w:tblHeader w:val="true"/>
          <w:cantSplit w:val="true"/>
        </w:trPr>
        <w:tc>
          <w:tcPr>
            <w:tcW w:type="dxa" w:w="9360"/>
            <w:vAlign w:val="center"/>
            <w:tcMar>
              <w:top w:w="80" w:type="dxa"/>
              <w:start w:w="120" w:type="dxa"/>
              <w:bottom w:w="80" w:type="dxa"/>
              <w:end w:w="120" w:type="dxa"/>
            </w:tcMar>
            <w:shd w:fill="F7F9FC"/>
          </w:tcPr>
          <w:p>
            <w:pPr>
              <w:spacing w:after="100" w:line="300" w:lineRule="auto"/>
            </w:pPr>
            <w:r>
              <w:rPr>
                <w:rFonts w:ascii="Calibri" w:hAnsi="Calibri"/>
                <w:b/>
                <w:color w:val="1F4D78"/>
                <w:sz w:val="22"/>
              </w:rPr>
              <w:t xml:space="preserve">Draft-ready idea: </w:t>
            </w:r>
            <w:r>
              <w:rPr>
                <w:rFonts w:ascii="Calibri" w:hAnsi="Calibri"/>
                <w:color w:val="000000"/>
                <w:sz w:val="22"/>
              </w:rPr>
              <w:t>“Effective performance management is particularly important at Emerson because the quality and reliability of its automation products depend on employees consistently following technical, safety, and quality requirements…”</w:t>
            </w:r>
          </w:p>
        </w:tc>
      </w:tr>
    </w:tbl>
    <w:p>
      <w:pPr>
        <w:spacing w:after="100" w:line="300" w:lineRule="auto"/>
      </w:pPr>
      <w:r>
        <w:rPr>
          <w:rFonts w:ascii="Calibri" w:hAnsi="Calibri"/>
          <w:b/>
          <w:color w:val="1F4D78"/>
          <w:sz w:val="22"/>
        </w:rPr>
        <w:t xml:space="preserve">Must include: </w:t>
      </w:r>
      <w:r>
        <w:rPr>
          <w:rFonts w:ascii="Calibri" w:hAnsi="Calibri"/>
          <w:color w:val="000000"/>
          <w:sz w:val="22"/>
        </w:rPr>
        <w:t>Make the relationship among organizational strategy, HR objectives, and employee behavior explicit.</w:t>
      </w:r>
    </w:p>
    <w:p>
      <w:pPr>
        <w:spacing w:after="100" w:line="300" w:lineRule="auto"/>
      </w:pPr>
      <w:r>
        <w:rPr>
          <w:rFonts w:ascii="Calibri" w:hAnsi="Calibri"/>
          <w:b/>
          <w:color w:val="1F4D78"/>
          <w:sz w:val="22"/>
        </w:rPr>
        <w:t xml:space="preserve">Example to add: </w:t>
      </w:r>
      <w:r>
        <w:rPr>
          <w:rFonts w:ascii="Calibri" w:hAnsi="Calibri"/>
          <w:color w:val="000000"/>
          <w:sz w:val="22"/>
        </w:rPr>
        <w:t>An incorrect assembly or calibration can create rework, delay delivery, or undermine customer operations.</w:t>
      </w:r>
    </w:p>
    <w:p>
      <w:pPr>
        <w:spacing w:after="100" w:line="300" w:lineRule="auto"/>
      </w:pPr>
      <w:r>
        <w:rPr>
          <w:rFonts w:ascii="Calibri" w:hAnsi="Calibri"/>
          <w:b/>
          <w:color w:val="1F4D78"/>
          <w:sz w:val="22"/>
        </w:rPr>
        <w:t xml:space="preserve">Citation reminder: </w:t>
      </w:r>
      <w:r>
        <w:rPr>
          <w:rFonts w:ascii="Calibri" w:hAnsi="Calibri"/>
          <w:color w:val="000000"/>
          <w:sz w:val="22"/>
        </w:rPr>
        <w:t>Use (Noe et al., 2023) for the definition and (Pulakos et al., 2019) for continuous feedback.</w:t>
      </w:r>
    </w:p>
    <w:p>
      <w:pPr>
        <w:spacing w:after="100" w:line="300" w:lineRule="auto"/>
      </w:pPr>
      <w:r>
        <w:rPr>
          <w:rFonts w:ascii="Calibri" w:hAnsi="Calibri"/>
          <w:b/>
          <w:color w:val="1F4D78"/>
          <w:sz w:val="22"/>
        </w:rPr>
        <w:t xml:space="preserve">Rubric target: </w:t>
      </w:r>
      <w:r>
        <w:rPr>
          <w:rFonts w:ascii="Calibri" w:hAnsi="Calibri"/>
          <w:color w:val="000000"/>
          <w:sz w:val="22"/>
        </w:rPr>
        <w:t>Introduction; strategic importance of performance management.</w:t>
      </w:r>
    </w:p>
    <w:p>
      <w:pPr>
        <w:pStyle w:val="Heading2"/>
        <w:keepNext/>
      </w:pPr>
      <w:r>
        <w:t>3. Step 1: company, department, and diversity outcomes — 160 words</w:t>
      </w:r>
    </w:p>
    <w:p>
      <w:pPr>
        <w:spacing w:after="100" w:line="300" w:lineRule="auto"/>
      </w:pPr>
      <w:r>
        <w:rPr>
          <w:rFonts w:ascii="Calibri" w:hAnsi="Calibri"/>
          <w:b/>
          <w:color w:val="1F4D78"/>
          <w:sz w:val="22"/>
        </w:rPr>
        <w:t xml:space="preserve">Job: </w:t>
      </w:r>
      <w:r>
        <w:rPr>
          <w:rFonts w:ascii="Calibri" w:hAnsi="Calibri"/>
          <w:color w:val="000000"/>
          <w:sz w:val="22"/>
        </w:rPr>
        <w:t>Define strategic outcomes and incorporate diversity-supporting policies.</w:t>
      </w:r>
    </w:p>
    <w:p>
      <w:pPr>
        <w:spacing w:after="100" w:line="300" w:lineRule="auto"/>
      </w:pPr>
      <w:r>
        <w:rPr>
          <w:rFonts w:ascii="Calibri" w:hAnsi="Calibri"/>
          <w:b/>
          <w:color w:val="1F4D78"/>
          <w:sz w:val="22"/>
        </w:rPr>
        <w:t xml:space="preserve">Cover: </w:t>
      </w:r>
      <w:r>
        <w:rPr>
          <w:rFonts w:ascii="Calibri" w:hAnsi="Calibri"/>
          <w:color w:val="000000"/>
          <w:sz w:val="22"/>
        </w:rPr>
        <w:t>Company outcomes: innovation, customer value, operational efficiency, product reliability, safety, sustainability, engagement, and retention. Department outcomes: first-pass quality, on-time production, reduced defects/rework/downtime, fewer safety incidents, skill development, and retention. Add equal standards, accessible training, reasonable accommodations, rating audits, inclusive-leadership training, and appeal procedures.</w:t>
      </w:r>
    </w:p>
    <w:p>
      <w:pPr>
        <w:spacing w:after="100" w:line="300" w:lineRule="auto"/>
      </w:pPr>
      <w:r>
        <w:rPr>
          <w:rFonts w:ascii="Calibri" w:hAnsi="Calibri"/>
          <w:b/>
          <w:color w:val="1F4D78"/>
          <w:sz w:val="22"/>
        </w:rPr>
        <w:t xml:space="preserve">Use/source(s): </w:t>
      </w:r>
      <w:r>
        <w:rPr>
          <w:rFonts w:ascii="Calibri" w:hAnsi="Calibri"/>
          <w:color w:val="000000"/>
          <w:sz w:val="22"/>
        </w:rPr>
        <w:t>Emerson 10-K; Emerson Sustainability Report; Noe et al., Chapter 8.</w:t>
      </w:r>
    </w:p>
    <w:tbl>
      <w:tblPr>
        <w:tblStyle w:val="TableGrid"/>
        <w:tblW w:type="dxa" w:w="9360"/>
        <w:jc w:val="left"/>
        <w:tblLayout w:type="fixed"/>
        <w:tblLook w:firstColumn="1" w:firstRow="1" w:lastColumn="0" w:lastRow="0" w:noHBand="0" w:noVBand="1" w:val="04A0"/>
        <w:tblInd w:w="120" w:type="dxa"/>
      </w:tblPr>
      <w:tblGrid>
        <w:gridCol w:w="9360"/>
      </w:tblGrid>
      <w:tr>
        <w:trPr>
          <w:tblHeader w:val="true"/>
          <w:cantSplit w:val="true"/>
        </w:trPr>
        <w:tc>
          <w:tcPr>
            <w:tcW w:type="dxa" w:w="9360"/>
            <w:vAlign w:val="center"/>
            <w:tcMar>
              <w:top w:w="80" w:type="dxa"/>
              <w:start w:w="120" w:type="dxa"/>
              <w:bottom w:w="80" w:type="dxa"/>
              <w:end w:w="120" w:type="dxa"/>
            </w:tcMar>
            <w:shd w:fill="F7F9FC"/>
          </w:tcPr>
          <w:p>
            <w:pPr>
              <w:spacing w:after="100" w:line="300" w:lineRule="auto"/>
            </w:pPr>
            <w:r>
              <w:rPr>
                <w:rFonts w:ascii="Calibri" w:hAnsi="Calibri"/>
                <w:b/>
                <w:color w:val="1F4D78"/>
                <w:sz w:val="22"/>
              </w:rPr>
              <w:t xml:space="preserve">Draft-ready idea: </w:t>
            </w:r>
            <w:r>
              <w:rPr>
                <w:rFonts w:ascii="Calibri" w:hAnsi="Calibri"/>
                <w:color w:val="000000"/>
                <w:sz w:val="22"/>
              </w:rPr>
              <w:t>“The first step is to translate Emerson’s strategic priorities into company and departmental outcomes. At the company level, the cycle should support…”</w:t>
            </w:r>
          </w:p>
        </w:tc>
      </w:tr>
    </w:tbl>
    <w:p>
      <w:pPr>
        <w:spacing w:after="100" w:line="300" w:lineRule="auto"/>
      </w:pPr>
      <w:r>
        <w:rPr>
          <w:rFonts w:ascii="Calibri" w:hAnsi="Calibri"/>
          <w:b/>
          <w:color w:val="1F4D78"/>
          <w:sz w:val="22"/>
        </w:rPr>
        <w:t xml:space="preserve">Must include: </w:t>
      </w:r>
      <w:r>
        <w:rPr>
          <w:rFonts w:ascii="Calibri" w:hAnsi="Calibri"/>
          <w:color w:val="000000"/>
          <w:sz w:val="22"/>
        </w:rPr>
        <w:t>Label figures such as 98% first-pass quality, 95% on-time completion, and 95% training completion as proposed targets—not existing Emerson standards.</w:t>
      </w:r>
    </w:p>
    <w:p>
      <w:pPr>
        <w:spacing w:after="100" w:line="300" w:lineRule="auto"/>
      </w:pPr>
      <w:r>
        <w:rPr>
          <w:rFonts w:ascii="Calibri" w:hAnsi="Calibri"/>
          <w:b/>
          <w:color w:val="1F4D78"/>
          <w:sz w:val="22"/>
        </w:rPr>
        <w:t xml:space="preserve">Example to add: </w:t>
      </w:r>
      <w:r>
        <w:rPr>
          <w:rFonts w:ascii="Calibri" w:hAnsi="Calibri"/>
          <w:color w:val="000000"/>
          <w:sz w:val="22"/>
        </w:rPr>
        <w:t>Audit whether night-shift employees receive the same training and promotion preparation as day-shift employees.</w:t>
      </w:r>
    </w:p>
    <w:p>
      <w:pPr>
        <w:spacing w:after="100" w:line="300" w:lineRule="auto"/>
      </w:pPr>
      <w:r>
        <w:rPr>
          <w:rFonts w:ascii="Calibri" w:hAnsi="Calibri"/>
          <w:b/>
          <w:color w:val="1F4D78"/>
          <w:sz w:val="22"/>
        </w:rPr>
        <w:t xml:space="preserve">Citation reminder: </w:t>
      </w:r>
      <w:r>
        <w:rPr>
          <w:rFonts w:ascii="Calibri" w:hAnsi="Calibri"/>
          <w:color w:val="000000"/>
          <w:sz w:val="22"/>
        </w:rPr>
        <w:t>Cite Emerson for existing strategy, the 80% inclusion index, and safety data; proposed targets need no citation.</w:t>
      </w:r>
    </w:p>
    <w:p>
      <w:pPr>
        <w:spacing w:after="100" w:line="300" w:lineRule="auto"/>
      </w:pPr>
      <w:r>
        <w:rPr>
          <w:rFonts w:ascii="Calibri" w:hAnsi="Calibri"/>
          <w:b/>
          <w:color w:val="1F4D78"/>
          <w:sz w:val="22"/>
        </w:rPr>
        <w:t xml:space="preserve">Rubric target: </w:t>
      </w:r>
      <w:r>
        <w:rPr>
          <w:rFonts w:ascii="Calibri" w:hAnsi="Calibri"/>
          <w:color w:val="000000"/>
          <w:sz w:val="22"/>
        </w:rPr>
        <w:t>Step 1; company and department outcomes; diversity policies.</w:t>
      </w:r>
    </w:p>
    <w:p>
      <w:pPr>
        <w:pStyle w:val="Heading2"/>
        <w:keepNext/>
      </w:pPr>
      <w:r>
        <w:t>4. Step 2: employee goals, behaviors, and actions — 125 words</w:t>
      </w:r>
    </w:p>
    <w:p>
      <w:pPr>
        <w:spacing w:after="100" w:line="300" w:lineRule="auto"/>
      </w:pPr>
      <w:r>
        <w:rPr>
          <w:rFonts w:ascii="Calibri" w:hAnsi="Calibri"/>
          <w:b/>
          <w:color w:val="1F4D78"/>
          <w:sz w:val="22"/>
        </w:rPr>
        <w:t xml:space="preserve">Job: </w:t>
      </w:r>
      <w:r>
        <w:rPr>
          <w:rFonts w:ascii="Calibri" w:hAnsi="Calibri"/>
          <w:color w:val="000000"/>
          <w:sz w:val="22"/>
        </w:rPr>
        <w:t>Translate department outcomes into measurable individual expectations.</w:t>
      </w:r>
    </w:p>
    <w:p>
      <w:pPr>
        <w:spacing w:after="100" w:line="300" w:lineRule="auto"/>
      </w:pPr>
      <w:r>
        <w:rPr>
          <w:rFonts w:ascii="Calibri" w:hAnsi="Calibri"/>
          <w:b/>
          <w:color w:val="1F4D78"/>
          <w:sz w:val="22"/>
        </w:rPr>
        <w:t xml:space="preserve">Cover: </w:t>
      </w:r>
      <w:r>
        <w:rPr>
          <w:rFonts w:ascii="Calibri" w:hAnsi="Calibri"/>
          <w:color w:val="000000"/>
          <w:sz w:val="22"/>
        </w:rPr>
        <w:t>Include goals for quality, productivity, safety, teamwork, learning, inclusion, and continuous improvement. Explain that supervisors and employees should establish SMART goals collaboratively.</w:t>
      </w:r>
    </w:p>
    <w:p>
      <w:pPr>
        <w:spacing w:after="100" w:line="300" w:lineRule="auto"/>
      </w:pPr>
      <w:r>
        <w:rPr>
          <w:rFonts w:ascii="Calibri" w:hAnsi="Calibri"/>
          <w:b/>
          <w:color w:val="1F4D78"/>
          <w:sz w:val="22"/>
        </w:rPr>
        <w:t xml:space="preserve">Use/source(s): </w:t>
      </w:r>
      <w:r>
        <w:rPr>
          <w:rFonts w:ascii="Calibri" w:hAnsi="Calibri"/>
          <w:color w:val="000000"/>
          <w:sz w:val="22"/>
        </w:rPr>
        <w:t>Noe et al., Chapter 8.</w:t>
      </w:r>
    </w:p>
    <w:tbl>
      <w:tblPr>
        <w:tblStyle w:val="TableGrid"/>
        <w:tblW w:type="dxa" w:w="9360"/>
        <w:jc w:val="left"/>
        <w:tblLayout w:type="fixed"/>
        <w:tblLook w:firstColumn="1" w:firstRow="1" w:lastColumn="0" w:lastRow="0" w:noHBand="0" w:noVBand="1" w:val="04A0"/>
        <w:tblInd w:w="120" w:type="dxa"/>
      </w:tblPr>
      <w:tblGrid>
        <w:gridCol w:w="9360"/>
      </w:tblGrid>
      <w:tr>
        <w:trPr>
          <w:tblHeader w:val="true"/>
          <w:cantSplit w:val="true"/>
        </w:trPr>
        <w:tc>
          <w:tcPr>
            <w:tcW w:type="dxa" w:w="9360"/>
            <w:vAlign w:val="center"/>
            <w:tcMar>
              <w:top w:w="80" w:type="dxa"/>
              <w:start w:w="120" w:type="dxa"/>
              <w:bottom w:w="80" w:type="dxa"/>
              <w:end w:w="120" w:type="dxa"/>
            </w:tcMar>
            <w:shd w:fill="F7F9FC"/>
          </w:tcPr>
          <w:p>
            <w:pPr>
              <w:spacing w:after="100" w:line="300" w:lineRule="auto"/>
            </w:pPr>
            <w:r>
              <w:rPr>
                <w:rFonts w:ascii="Calibri" w:hAnsi="Calibri"/>
                <w:b/>
                <w:color w:val="1F4D78"/>
                <w:sz w:val="22"/>
              </w:rPr>
              <w:t xml:space="preserve">Draft-ready idea: </w:t>
            </w:r>
            <w:r>
              <w:rPr>
                <w:rFonts w:ascii="Calibri" w:hAnsi="Calibri"/>
                <w:color w:val="000000"/>
                <w:sz w:val="22"/>
              </w:rPr>
              <w:t>“Once departmental outcomes are established, supervisors and employees should convert them into specific, measurable, achievable, relevant, and time-bound goals…”</w:t>
            </w:r>
          </w:p>
        </w:tc>
      </w:tr>
    </w:tbl>
    <w:p>
      <w:pPr>
        <w:spacing w:after="100" w:line="300" w:lineRule="auto"/>
      </w:pPr>
      <w:r>
        <w:rPr>
          <w:rFonts w:ascii="Calibri" w:hAnsi="Calibri"/>
          <w:b/>
          <w:color w:val="1F4D78"/>
          <w:sz w:val="22"/>
        </w:rPr>
        <w:t xml:space="preserve">Must include: </w:t>
      </w:r>
      <w:r>
        <w:rPr>
          <w:rFonts w:ascii="Calibri" w:hAnsi="Calibri"/>
          <w:color w:val="000000"/>
          <w:sz w:val="22"/>
        </w:rPr>
        <w:t>Evaluate both results and behaviors; high output must not excuse unsafe or disrespectful conduct.</w:t>
      </w:r>
    </w:p>
    <w:p>
      <w:pPr>
        <w:spacing w:after="100" w:line="300" w:lineRule="auto"/>
      </w:pPr>
      <w:r>
        <w:rPr>
          <w:rFonts w:ascii="Calibri" w:hAnsi="Calibri"/>
          <w:b/>
          <w:color w:val="1F4D78"/>
          <w:sz w:val="22"/>
        </w:rPr>
        <w:t xml:space="preserve">Example to add: </w:t>
      </w:r>
      <w:r>
        <w:rPr>
          <w:rFonts w:ascii="Calibri" w:hAnsi="Calibri"/>
          <w:color w:val="000000"/>
          <w:sz w:val="22"/>
        </w:rPr>
        <w:t>Complete advanced equipment-calibration training by quarter end and demonstrate the procedure during an observed assessment.</w:t>
      </w:r>
    </w:p>
    <w:p>
      <w:pPr>
        <w:spacing w:after="100" w:line="300" w:lineRule="auto"/>
      </w:pPr>
      <w:r>
        <w:rPr>
          <w:rFonts w:ascii="Calibri" w:hAnsi="Calibri"/>
          <w:b/>
          <w:color w:val="1F4D78"/>
          <w:sz w:val="22"/>
        </w:rPr>
        <w:t xml:space="preserve">Citation reminder: </w:t>
      </w:r>
      <w:r>
        <w:rPr>
          <w:rFonts w:ascii="Calibri" w:hAnsi="Calibri"/>
          <w:color w:val="000000"/>
          <w:sz w:val="22"/>
        </w:rPr>
        <w:t>Cite Noe et al. after explaining measurable goals, behaviors, and actions.</w:t>
      </w:r>
    </w:p>
    <w:p>
      <w:pPr>
        <w:spacing w:after="100" w:line="300" w:lineRule="auto"/>
      </w:pPr>
      <w:r>
        <w:rPr>
          <w:rFonts w:ascii="Calibri" w:hAnsi="Calibri"/>
          <w:b/>
          <w:color w:val="1F4D78"/>
          <w:sz w:val="22"/>
        </w:rPr>
        <w:t xml:space="preserve">Rubric target: </w:t>
      </w:r>
      <w:r>
        <w:rPr>
          <w:rFonts w:ascii="Calibri" w:hAnsi="Calibri"/>
          <w:color w:val="000000"/>
          <w:sz w:val="22"/>
        </w:rPr>
        <w:t>Step 2.</w:t>
      </w:r>
    </w:p>
    <w:p>
      <w:pPr>
        <w:pStyle w:val="Heading2"/>
        <w:keepNext/>
      </w:pPr>
      <w:r>
        <w:t>5. Step 3: support, supervision, and discussions — 125 words</w:t>
      </w:r>
    </w:p>
    <w:p>
      <w:pPr>
        <w:spacing w:after="100" w:line="300" w:lineRule="auto"/>
      </w:pPr>
      <w:r>
        <w:rPr>
          <w:rFonts w:ascii="Calibri" w:hAnsi="Calibri"/>
          <w:b/>
          <w:color w:val="1F4D78"/>
          <w:sz w:val="22"/>
        </w:rPr>
        <w:t xml:space="preserve">Job: </w:t>
      </w:r>
      <w:r>
        <w:rPr>
          <w:rFonts w:ascii="Calibri" w:hAnsi="Calibri"/>
          <w:color w:val="000000"/>
          <w:sz w:val="22"/>
        </w:rPr>
        <w:t>Show how managers will help employees achieve their goals.</w:t>
      </w:r>
    </w:p>
    <w:p>
      <w:pPr>
        <w:spacing w:after="100" w:line="300" w:lineRule="auto"/>
      </w:pPr>
      <w:r>
        <w:rPr>
          <w:rFonts w:ascii="Calibri" w:hAnsi="Calibri"/>
          <w:b/>
          <w:color w:val="1F4D78"/>
          <w:sz w:val="22"/>
        </w:rPr>
        <w:t xml:space="preserve">Cover: </w:t>
      </w:r>
      <w:r>
        <w:rPr>
          <w:rFonts w:ascii="Calibri" w:hAnsi="Calibri"/>
          <w:color w:val="000000"/>
          <w:sz w:val="22"/>
        </w:rPr>
        <w:t>Recommend weekly safety/production check-ins, monthly individual coaching, quarterly progress reviews, real-time feedback, job aids, technical training, mentoring, and documented follow-up. Require supervisors to ask about obstacles and provide constructive, culturally responsive feedback.</w:t>
      </w:r>
    </w:p>
    <w:p>
      <w:pPr>
        <w:spacing w:after="100" w:line="300" w:lineRule="auto"/>
      </w:pPr>
      <w:r>
        <w:rPr>
          <w:rFonts w:ascii="Calibri" w:hAnsi="Calibri"/>
          <w:b/>
          <w:color w:val="1F4D78"/>
          <w:sz w:val="22"/>
        </w:rPr>
        <w:t xml:space="preserve">Use/source(s): </w:t>
      </w:r>
      <w:r>
        <w:rPr>
          <w:rFonts w:ascii="Calibri" w:hAnsi="Calibri"/>
          <w:color w:val="000000"/>
          <w:sz w:val="22"/>
        </w:rPr>
        <w:t>Noe et al.; Pulakos et al. (2019); Emerson Learning and Development.</w:t>
      </w:r>
    </w:p>
    <w:tbl>
      <w:tblPr>
        <w:tblStyle w:val="TableGrid"/>
        <w:tblW w:type="dxa" w:w="9360"/>
        <w:jc w:val="left"/>
        <w:tblLayout w:type="fixed"/>
        <w:tblLook w:firstColumn="1" w:firstRow="1" w:lastColumn="0" w:lastRow="0" w:noHBand="0" w:noVBand="1" w:val="04A0"/>
        <w:tblInd w:w="120" w:type="dxa"/>
      </w:tblPr>
      <w:tblGrid>
        <w:gridCol w:w="9360"/>
      </w:tblGrid>
      <w:tr>
        <w:trPr>
          <w:tblHeader w:val="true"/>
          <w:cantSplit w:val="true"/>
        </w:trPr>
        <w:tc>
          <w:tcPr>
            <w:tcW w:type="dxa" w:w="9360"/>
            <w:vAlign w:val="center"/>
            <w:tcMar>
              <w:top w:w="80" w:type="dxa"/>
              <w:start w:w="120" w:type="dxa"/>
              <w:bottom w:w="80" w:type="dxa"/>
              <w:end w:w="120" w:type="dxa"/>
            </w:tcMar>
            <w:shd w:fill="F7F9FC"/>
          </w:tcPr>
          <w:p>
            <w:pPr>
              <w:spacing w:after="100" w:line="300" w:lineRule="auto"/>
            </w:pPr>
            <w:r>
              <w:rPr>
                <w:rFonts w:ascii="Calibri" w:hAnsi="Calibri"/>
                <w:b/>
                <w:color w:val="1F4D78"/>
                <w:sz w:val="22"/>
              </w:rPr>
              <w:t xml:space="preserve">Draft-ready idea: </w:t>
            </w:r>
            <w:r>
              <w:rPr>
                <w:rFonts w:ascii="Calibri" w:hAnsi="Calibri"/>
                <w:color w:val="000000"/>
                <w:sz w:val="22"/>
              </w:rPr>
              <w:t>“Emerson should support performance through frequent conversations instead of relying exclusively on an annual review…”</w:t>
            </w:r>
          </w:p>
        </w:tc>
      </w:tr>
    </w:tbl>
    <w:p>
      <w:pPr>
        <w:spacing w:after="100" w:line="300" w:lineRule="auto"/>
      </w:pPr>
      <w:r>
        <w:rPr>
          <w:rFonts w:ascii="Calibri" w:hAnsi="Calibri"/>
          <w:b/>
          <w:color w:val="1F4D78"/>
          <w:sz w:val="22"/>
        </w:rPr>
        <w:t xml:space="preserve">Must include: </w:t>
      </w:r>
      <w:r>
        <w:rPr>
          <w:rFonts w:ascii="Calibri" w:hAnsi="Calibri"/>
          <w:color w:val="000000"/>
          <w:sz w:val="22"/>
        </w:rPr>
        <w:t>Managers must distinguish motivation problems from inadequate ability, unclear expectations, missing resources, or system failures.</w:t>
      </w:r>
    </w:p>
    <w:p>
      <w:pPr>
        <w:spacing w:after="100" w:line="300" w:lineRule="auto"/>
      </w:pPr>
      <w:r>
        <w:rPr>
          <w:rFonts w:ascii="Calibri" w:hAnsi="Calibri"/>
          <w:b/>
          <w:color w:val="1F4D78"/>
          <w:sz w:val="22"/>
        </w:rPr>
        <w:t xml:space="preserve">Example to add: </w:t>
      </w:r>
      <w:r>
        <w:rPr>
          <w:rFonts w:ascii="Calibri" w:hAnsi="Calibri"/>
          <w:color w:val="000000"/>
          <w:sz w:val="22"/>
        </w:rPr>
        <w:t>If defects rise after new equipment is introduced, examine training and equipment problems before blaming individual technicians.</w:t>
      </w:r>
    </w:p>
    <w:p>
      <w:pPr>
        <w:spacing w:after="100" w:line="300" w:lineRule="auto"/>
      </w:pPr>
      <w:r>
        <w:rPr>
          <w:rFonts w:ascii="Calibri" w:hAnsi="Calibri"/>
          <w:b/>
          <w:color w:val="1F4D78"/>
          <w:sz w:val="22"/>
        </w:rPr>
        <w:t xml:space="preserve">Citation reminder: </w:t>
      </w:r>
      <w:r>
        <w:rPr>
          <w:rFonts w:ascii="Calibri" w:hAnsi="Calibri"/>
          <w:color w:val="000000"/>
          <w:sz w:val="22"/>
        </w:rPr>
        <w:t>Use Pulakos et al. after discussing continuous coaching and real-time feedback.</w:t>
      </w:r>
    </w:p>
    <w:p>
      <w:pPr>
        <w:spacing w:after="100" w:line="300" w:lineRule="auto"/>
      </w:pPr>
      <w:r>
        <w:rPr>
          <w:rFonts w:ascii="Calibri" w:hAnsi="Calibri"/>
          <w:b/>
          <w:color w:val="1F4D78"/>
          <w:sz w:val="22"/>
        </w:rPr>
        <w:t xml:space="preserve">Rubric target: </w:t>
      </w:r>
      <w:r>
        <w:rPr>
          <w:rFonts w:ascii="Calibri" w:hAnsi="Calibri"/>
          <w:color w:val="000000"/>
          <w:sz w:val="22"/>
        </w:rPr>
        <w:t>Step 3.</w:t>
      </w:r>
    </w:p>
    <w:p>
      <w:pPr>
        <w:pStyle w:val="Heading2"/>
        <w:keepNext/>
      </w:pPr>
      <w:r>
        <w:t>6. Step 4: evaluate employee performance — 135 words</w:t>
      </w:r>
    </w:p>
    <w:p>
      <w:pPr>
        <w:spacing w:after="100" w:line="300" w:lineRule="auto"/>
      </w:pPr>
      <w:r>
        <w:rPr>
          <w:rFonts w:ascii="Calibri" w:hAnsi="Calibri"/>
          <w:b/>
          <w:color w:val="1F4D78"/>
          <w:sz w:val="22"/>
        </w:rPr>
        <w:t xml:space="preserve">Job: </w:t>
      </w:r>
      <w:r>
        <w:rPr>
          <w:rFonts w:ascii="Calibri" w:hAnsi="Calibri"/>
          <w:color w:val="000000"/>
          <w:sz w:val="22"/>
        </w:rPr>
        <w:t>Design a reliable and equitable evaluation method.</w:t>
      </w:r>
    </w:p>
    <w:p>
      <w:pPr>
        <w:spacing w:after="100" w:line="300" w:lineRule="auto"/>
      </w:pPr>
      <w:r>
        <w:rPr>
          <w:rFonts w:ascii="Calibri" w:hAnsi="Calibri"/>
          <w:b/>
          <w:color w:val="1F4D78"/>
          <w:sz w:val="22"/>
        </w:rPr>
        <w:t xml:space="preserve">Cover: </w:t>
      </w:r>
      <w:r>
        <w:rPr>
          <w:rFonts w:ascii="Calibri" w:hAnsi="Calibri"/>
          <w:color w:val="000000"/>
          <w:sz w:val="22"/>
        </w:rPr>
        <w:t>Use quality and production records, safety and training records, direct observation, self-assessment, and limited team feedback. Rate quality, productivity, safety, teamwork/inclusion, and learning. Address recency, halo, similarity, leniency, and severity errors.</w:t>
      </w:r>
    </w:p>
    <w:p>
      <w:pPr>
        <w:spacing w:after="100" w:line="300" w:lineRule="auto"/>
      </w:pPr>
      <w:r>
        <w:rPr>
          <w:rFonts w:ascii="Calibri" w:hAnsi="Calibri"/>
          <w:b/>
          <w:color w:val="1F4D78"/>
          <w:sz w:val="22"/>
        </w:rPr>
        <w:t xml:space="preserve">Use/source(s): </w:t>
      </w:r>
      <w:r>
        <w:rPr>
          <w:rFonts w:ascii="Calibri" w:hAnsi="Calibri"/>
          <w:color w:val="000000"/>
          <w:sz w:val="22"/>
        </w:rPr>
        <w:t>Noe et al., Chapter 8.</w:t>
      </w:r>
    </w:p>
    <w:tbl>
      <w:tblPr>
        <w:tblStyle w:val="TableGrid"/>
        <w:tblW w:type="dxa" w:w="9360"/>
        <w:jc w:val="left"/>
        <w:tblLayout w:type="fixed"/>
        <w:tblLook w:firstColumn="1" w:firstRow="1" w:lastColumn="0" w:lastRow="0" w:noHBand="0" w:noVBand="1" w:val="04A0"/>
        <w:tblInd w:w="120" w:type="dxa"/>
      </w:tblPr>
      <w:tblGrid>
        <w:gridCol w:w="9360"/>
      </w:tblGrid>
      <w:tr>
        <w:trPr>
          <w:tblHeader w:val="true"/>
          <w:cantSplit w:val="true"/>
        </w:trPr>
        <w:tc>
          <w:tcPr>
            <w:tcW w:type="dxa" w:w="9360"/>
            <w:vAlign w:val="center"/>
            <w:tcMar>
              <w:top w:w="80" w:type="dxa"/>
              <w:start w:w="120" w:type="dxa"/>
              <w:bottom w:w="80" w:type="dxa"/>
              <w:end w:w="120" w:type="dxa"/>
            </w:tcMar>
            <w:shd w:fill="F7F9FC"/>
          </w:tcPr>
          <w:p>
            <w:pPr>
              <w:spacing w:after="100" w:line="300" w:lineRule="auto"/>
            </w:pPr>
            <w:r>
              <w:rPr>
                <w:rFonts w:ascii="Calibri" w:hAnsi="Calibri"/>
                <w:b/>
                <w:color w:val="1F4D78"/>
                <w:sz w:val="22"/>
              </w:rPr>
              <w:t xml:space="preserve">Draft-ready idea: </w:t>
            </w:r>
            <w:r>
              <w:rPr>
                <w:rFonts w:ascii="Calibri" w:hAnsi="Calibri"/>
                <w:color w:val="000000"/>
                <w:sz w:val="22"/>
              </w:rPr>
              <w:t>“Employee evaluation should combine objective operational results with carefully structured assessments of behavior. Relying on only one measure could…”</w:t>
            </w:r>
          </w:p>
        </w:tc>
      </w:tr>
    </w:tbl>
    <w:p>
      <w:pPr>
        <w:spacing w:after="100" w:line="300" w:lineRule="auto"/>
      </w:pPr>
      <w:r>
        <w:rPr>
          <w:rFonts w:ascii="Calibri" w:hAnsi="Calibri"/>
          <w:b/>
          <w:color w:val="1F4D78"/>
          <w:sz w:val="22"/>
        </w:rPr>
        <w:t xml:space="preserve">Must include: </w:t>
      </w:r>
      <w:r>
        <w:rPr>
          <w:rFonts w:ascii="Calibri" w:hAnsi="Calibri"/>
          <w:color w:val="000000"/>
          <w:sz w:val="22"/>
        </w:rPr>
        <w:t>Use behaviorally anchored descriptions, manager training, calibration meetings, demographic audits, and employee appeal rights.</w:t>
      </w:r>
    </w:p>
    <w:p>
      <w:pPr>
        <w:spacing w:after="100" w:line="300" w:lineRule="auto"/>
      </w:pPr>
      <w:r>
        <w:rPr>
          <w:rFonts w:ascii="Calibri" w:hAnsi="Calibri"/>
          <w:b/>
          <w:color w:val="1F4D78"/>
          <w:sz w:val="22"/>
        </w:rPr>
        <w:t xml:space="preserve">Example to add: </w:t>
      </w:r>
      <w:r>
        <w:rPr>
          <w:rFonts w:ascii="Calibri" w:hAnsi="Calibri"/>
          <w:color w:val="000000"/>
          <w:sz w:val="22"/>
        </w:rPr>
        <w:t>‘Meets expectations’ in safety could mean completing inspections, reporting hazards promptly, and consistently following required procedures.</w:t>
      </w:r>
    </w:p>
    <w:p>
      <w:pPr>
        <w:spacing w:after="100" w:line="300" w:lineRule="auto"/>
      </w:pPr>
      <w:r>
        <w:rPr>
          <w:rFonts w:ascii="Calibri" w:hAnsi="Calibri"/>
          <w:b/>
          <w:color w:val="1F4D78"/>
          <w:sz w:val="22"/>
        </w:rPr>
        <w:t xml:space="preserve">Citation reminder: </w:t>
      </w:r>
      <w:r>
        <w:rPr>
          <w:rFonts w:ascii="Calibri" w:hAnsi="Calibri"/>
          <w:color w:val="000000"/>
          <w:sz w:val="22"/>
        </w:rPr>
        <w:t>Cite the textbook after identifying rating errors and methods for improving evaluation quality.</w:t>
      </w:r>
    </w:p>
    <w:p>
      <w:pPr>
        <w:spacing w:after="100" w:line="300" w:lineRule="auto"/>
      </w:pPr>
      <w:r>
        <w:rPr>
          <w:rFonts w:ascii="Calibri" w:hAnsi="Calibri"/>
          <w:b/>
          <w:color w:val="1F4D78"/>
          <w:sz w:val="22"/>
        </w:rPr>
        <w:t xml:space="preserve">Rubric target: </w:t>
      </w:r>
      <w:r>
        <w:rPr>
          <w:rFonts w:ascii="Calibri" w:hAnsi="Calibri"/>
          <w:color w:val="000000"/>
          <w:sz w:val="22"/>
        </w:rPr>
        <w:t>Step 4.</w:t>
      </w:r>
    </w:p>
    <w:p>
      <w:pPr>
        <w:pStyle w:val="Heading2"/>
        <w:keepNext/>
      </w:pPr>
      <w:r>
        <w:t>7. Step 5: identify improvements — 105 words</w:t>
      </w:r>
    </w:p>
    <w:p>
      <w:pPr>
        <w:spacing w:after="100" w:line="300" w:lineRule="auto"/>
      </w:pPr>
      <w:r>
        <w:rPr>
          <w:rFonts w:ascii="Calibri" w:hAnsi="Calibri"/>
          <w:b/>
          <w:color w:val="1F4D78"/>
          <w:sz w:val="22"/>
        </w:rPr>
        <w:t xml:space="preserve">Job: </w:t>
      </w:r>
      <w:r>
        <w:rPr>
          <w:rFonts w:ascii="Calibri" w:hAnsi="Calibri"/>
          <w:color w:val="000000"/>
          <w:sz w:val="22"/>
        </w:rPr>
        <w:t>Turn performance gaps into specific development plans.</w:t>
      </w:r>
    </w:p>
    <w:p>
      <w:pPr>
        <w:spacing w:after="100" w:line="300" w:lineRule="auto"/>
      </w:pPr>
      <w:r>
        <w:rPr>
          <w:rFonts w:ascii="Calibri" w:hAnsi="Calibri"/>
          <w:b/>
          <w:color w:val="1F4D78"/>
          <w:sz w:val="22"/>
        </w:rPr>
        <w:t xml:space="preserve">Cover: </w:t>
      </w:r>
      <w:r>
        <w:rPr>
          <w:rFonts w:ascii="Calibri" w:hAnsi="Calibri"/>
          <w:color w:val="000000"/>
          <w:sz w:val="22"/>
        </w:rPr>
        <w:t>Identify the gap, evidence, likely cause, employee and manager responsibilities, required resources, deadline, and follow-up measures. Address strengths and advancement as well as weaknesses.</w:t>
      </w:r>
    </w:p>
    <w:p>
      <w:pPr>
        <w:spacing w:after="100" w:line="300" w:lineRule="auto"/>
      </w:pPr>
      <w:r>
        <w:rPr>
          <w:rFonts w:ascii="Calibri" w:hAnsi="Calibri"/>
          <w:b/>
          <w:color w:val="1F4D78"/>
          <w:sz w:val="22"/>
        </w:rPr>
        <w:t xml:space="preserve">Use/source(s): </w:t>
      </w:r>
      <w:r>
        <w:rPr>
          <w:rFonts w:ascii="Calibri" w:hAnsi="Calibri"/>
          <w:color w:val="000000"/>
          <w:sz w:val="22"/>
        </w:rPr>
        <w:t>Noe et al., Chapters 7 and 8.</w:t>
      </w:r>
    </w:p>
    <w:tbl>
      <w:tblPr>
        <w:tblStyle w:val="TableGrid"/>
        <w:tblW w:type="dxa" w:w="9360"/>
        <w:jc w:val="left"/>
        <w:tblLayout w:type="fixed"/>
        <w:tblLook w:firstColumn="1" w:firstRow="1" w:lastColumn="0" w:lastRow="0" w:noHBand="0" w:noVBand="1" w:val="04A0"/>
        <w:tblInd w:w="120" w:type="dxa"/>
      </w:tblPr>
      <w:tblGrid>
        <w:gridCol w:w="9360"/>
      </w:tblGrid>
      <w:tr>
        <w:trPr>
          <w:tblHeader w:val="true"/>
          <w:cantSplit w:val="true"/>
        </w:trPr>
        <w:tc>
          <w:tcPr>
            <w:tcW w:type="dxa" w:w="9360"/>
            <w:vAlign w:val="center"/>
            <w:tcMar>
              <w:top w:w="80" w:type="dxa"/>
              <w:start w:w="120" w:type="dxa"/>
              <w:bottom w:w="80" w:type="dxa"/>
              <w:end w:w="120" w:type="dxa"/>
            </w:tcMar>
            <w:shd w:fill="F7F9FC"/>
          </w:tcPr>
          <w:p>
            <w:pPr>
              <w:spacing w:after="100" w:line="300" w:lineRule="auto"/>
            </w:pPr>
            <w:r>
              <w:rPr>
                <w:rFonts w:ascii="Calibri" w:hAnsi="Calibri"/>
                <w:b/>
                <w:color w:val="1F4D78"/>
                <w:sz w:val="22"/>
              </w:rPr>
              <w:t xml:space="preserve">Draft-ready idea: </w:t>
            </w:r>
            <w:r>
              <w:rPr>
                <w:rFonts w:ascii="Calibri" w:hAnsi="Calibri"/>
                <w:color w:val="000000"/>
                <w:sz w:val="22"/>
              </w:rPr>
              <w:t>“After evaluating performance, the manager and employee should jointly identify the changes needed to close any gap. The response should depend on the cause rather than…”</w:t>
            </w:r>
          </w:p>
        </w:tc>
      </w:tr>
    </w:tbl>
    <w:p>
      <w:pPr>
        <w:spacing w:after="100" w:line="300" w:lineRule="auto"/>
      </w:pPr>
      <w:r>
        <w:rPr>
          <w:rFonts w:ascii="Calibri" w:hAnsi="Calibri"/>
          <w:b/>
          <w:color w:val="1F4D78"/>
          <w:sz w:val="22"/>
        </w:rPr>
        <w:t xml:space="preserve">Must include: </w:t>
      </w:r>
      <w:r>
        <w:rPr>
          <w:rFonts w:ascii="Calibri" w:hAnsi="Calibri"/>
          <w:color w:val="000000"/>
          <w:sz w:val="22"/>
        </w:rPr>
        <w:t>Distinguish individual deficiencies from workflow, staffing, technology, or procedure problems.</w:t>
      </w:r>
    </w:p>
    <w:p>
      <w:pPr>
        <w:spacing w:after="100" w:line="300" w:lineRule="auto"/>
      </w:pPr>
      <w:r>
        <w:rPr>
          <w:rFonts w:ascii="Calibri" w:hAnsi="Calibri"/>
          <w:b/>
          <w:color w:val="1F4D78"/>
          <w:sz w:val="22"/>
        </w:rPr>
        <w:t xml:space="preserve">Example to add: </w:t>
      </w:r>
      <w:r>
        <w:rPr>
          <w:rFonts w:ascii="Calibri" w:hAnsi="Calibri"/>
          <w:color w:val="000000"/>
          <w:sz w:val="22"/>
        </w:rPr>
        <w:t>Repeated calibration errors may require coached practice; department-wide errors may require revised procedures.</w:t>
      </w:r>
    </w:p>
    <w:p>
      <w:pPr>
        <w:spacing w:after="100" w:line="300" w:lineRule="auto"/>
      </w:pPr>
      <w:r>
        <w:rPr>
          <w:rFonts w:ascii="Calibri" w:hAnsi="Calibri"/>
          <w:b/>
          <w:color w:val="1F4D78"/>
          <w:sz w:val="22"/>
        </w:rPr>
        <w:t xml:space="preserve">Citation reminder: </w:t>
      </w:r>
      <w:r>
        <w:rPr>
          <w:rFonts w:ascii="Calibri" w:hAnsi="Calibri"/>
          <w:color w:val="000000"/>
          <w:sz w:val="22"/>
        </w:rPr>
        <w:t>Cite Noe et al. for performance diagnosis and training needs.</w:t>
      </w:r>
    </w:p>
    <w:p>
      <w:pPr>
        <w:spacing w:after="100" w:line="300" w:lineRule="auto"/>
      </w:pPr>
      <w:r>
        <w:rPr>
          <w:rFonts w:ascii="Calibri" w:hAnsi="Calibri"/>
          <w:b/>
          <w:color w:val="1F4D78"/>
          <w:sz w:val="22"/>
        </w:rPr>
        <w:t xml:space="preserve">Rubric target: </w:t>
      </w:r>
      <w:r>
        <w:rPr>
          <w:rFonts w:ascii="Calibri" w:hAnsi="Calibri"/>
          <w:color w:val="000000"/>
          <w:sz w:val="22"/>
        </w:rPr>
        <w:t>Step 5.</w:t>
      </w:r>
    </w:p>
    <w:p>
      <w:pPr>
        <w:pStyle w:val="Heading2"/>
        <w:keepNext/>
      </w:pPr>
      <w:r>
        <w:t>8. Step 6: consequences for results — 100 words</w:t>
      </w:r>
    </w:p>
    <w:p>
      <w:pPr>
        <w:spacing w:after="100" w:line="300" w:lineRule="auto"/>
      </w:pPr>
      <w:r>
        <w:rPr>
          <w:rFonts w:ascii="Calibri" w:hAnsi="Calibri"/>
          <w:b/>
          <w:color w:val="1F4D78"/>
          <w:sz w:val="22"/>
        </w:rPr>
        <w:t xml:space="preserve">Job: </w:t>
      </w:r>
      <w:r>
        <w:rPr>
          <w:rFonts w:ascii="Calibri" w:hAnsi="Calibri"/>
          <w:color w:val="000000"/>
          <w:sz w:val="22"/>
        </w:rPr>
        <w:t>Connect results with fair positive and corrective consequences.</w:t>
      </w:r>
    </w:p>
    <w:p>
      <w:pPr>
        <w:spacing w:after="100" w:line="300" w:lineRule="auto"/>
      </w:pPr>
      <w:r>
        <w:rPr>
          <w:rFonts w:ascii="Calibri" w:hAnsi="Calibri"/>
          <w:b/>
          <w:color w:val="1F4D78"/>
          <w:sz w:val="22"/>
        </w:rPr>
        <w:t xml:space="preserve">Cover: </w:t>
      </w:r>
      <w:r>
        <w:rPr>
          <w:rFonts w:ascii="Calibri" w:hAnsi="Calibri"/>
          <w:color w:val="000000"/>
          <w:sz w:val="22"/>
        </w:rPr>
        <w:t>Positive consequences: recognition, development assignments, certification, promotion consideration, and rewards. Corrective consequences: coaching, retraining, closer supervision, improvement plans, progressive discipline, and termination when justified.</w:t>
      </w:r>
    </w:p>
    <w:p>
      <w:pPr>
        <w:spacing w:after="100" w:line="300" w:lineRule="auto"/>
      </w:pPr>
      <w:r>
        <w:rPr>
          <w:rFonts w:ascii="Calibri" w:hAnsi="Calibri"/>
          <w:b/>
          <w:color w:val="1F4D78"/>
          <w:sz w:val="22"/>
        </w:rPr>
        <w:t xml:space="preserve">Use/source(s): </w:t>
      </w:r>
      <w:r>
        <w:rPr>
          <w:rFonts w:ascii="Calibri" w:hAnsi="Calibri"/>
          <w:color w:val="000000"/>
          <w:sz w:val="22"/>
        </w:rPr>
        <w:t>Noe et al., Chapter 8.</w:t>
      </w:r>
    </w:p>
    <w:tbl>
      <w:tblPr>
        <w:tblStyle w:val="TableGrid"/>
        <w:tblW w:type="dxa" w:w="9360"/>
        <w:jc w:val="left"/>
        <w:tblLayout w:type="fixed"/>
        <w:tblLook w:firstColumn="1" w:firstRow="1" w:lastColumn="0" w:lastRow="0" w:noHBand="0" w:noVBand="1" w:val="04A0"/>
        <w:tblInd w:w="120" w:type="dxa"/>
      </w:tblPr>
      <w:tblGrid>
        <w:gridCol w:w="9360"/>
      </w:tblGrid>
      <w:tr>
        <w:trPr>
          <w:tblHeader w:val="true"/>
          <w:cantSplit w:val="true"/>
        </w:trPr>
        <w:tc>
          <w:tcPr>
            <w:tcW w:type="dxa" w:w="9360"/>
            <w:vAlign w:val="center"/>
            <w:tcMar>
              <w:top w:w="80" w:type="dxa"/>
              <w:start w:w="120" w:type="dxa"/>
              <w:bottom w:w="80" w:type="dxa"/>
              <w:end w:w="120" w:type="dxa"/>
            </w:tcMar>
            <w:shd w:fill="F7F9FC"/>
          </w:tcPr>
          <w:p>
            <w:pPr>
              <w:spacing w:after="100" w:line="300" w:lineRule="auto"/>
            </w:pPr>
            <w:r>
              <w:rPr>
                <w:rFonts w:ascii="Calibri" w:hAnsi="Calibri"/>
                <w:b/>
                <w:color w:val="1F4D78"/>
                <w:sz w:val="22"/>
              </w:rPr>
              <w:t xml:space="preserve">Draft-ready idea: </w:t>
            </w:r>
            <w:r>
              <w:rPr>
                <w:rFonts w:ascii="Calibri" w:hAnsi="Calibri"/>
                <w:color w:val="000000"/>
                <w:sz w:val="22"/>
              </w:rPr>
              <w:t>“The final step should provide consequences that reinforce strong performance while responding proportionally to continuing deficiencies…”</w:t>
            </w:r>
          </w:p>
        </w:tc>
      </w:tr>
    </w:tbl>
    <w:p>
      <w:pPr>
        <w:spacing w:after="100" w:line="300" w:lineRule="auto"/>
      </w:pPr>
      <w:r>
        <w:rPr>
          <w:rFonts w:ascii="Calibri" w:hAnsi="Calibri"/>
          <w:b/>
          <w:color w:val="1F4D78"/>
          <w:sz w:val="22"/>
        </w:rPr>
        <w:t xml:space="preserve">Must include: </w:t>
      </w:r>
      <w:r>
        <w:rPr>
          <w:rFonts w:ascii="Calibri" w:hAnsi="Calibri"/>
          <w:color w:val="000000"/>
          <w:sz w:val="22"/>
        </w:rPr>
        <w:t>Consequences must be consistent, documented, proportional, and audited for disparate impact.</w:t>
      </w:r>
    </w:p>
    <w:p>
      <w:pPr>
        <w:spacing w:after="100" w:line="300" w:lineRule="auto"/>
      </w:pPr>
      <w:r>
        <w:rPr>
          <w:rFonts w:ascii="Calibri" w:hAnsi="Calibri"/>
          <w:b/>
          <w:color w:val="1F4D78"/>
          <w:sz w:val="22"/>
        </w:rPr>
        <w:t xml:space="preserve">Example to add: </w:t>
      </w:r>
      <w:r>
        <w:rPr>
          <w:rFonts w:ascii="Calibri" w:hAnsi="Calibri"/>
          <w:color w:val="000000"/>
          <w:sz w:val="22"/>
        </w:rPr>
        <w:t>A strong technician may mentor new hires; repeated intentional safety violations may warrant formal discipline.</w:t>
      </w:r>
    </w:p>
    <w:p>
      <w:pPr>
        <w:spacing w:after="100" w:line="300" w:lineRule="auto"/>
      </w:pPr>
      <w:r>
        <w:rPr>
          <w:rFonts w:ascii="Calibri" w:hAnsi="Calibri"/>
          <w:b/>
          <w:color w:val="1F4D78"/>
          <w:sz w:val="22"/>
        </w:rPr>
        <w:t xml:space="preserve">Citation reminder: </w:t>
      </w:r>
      <w:r>
        <w:rPr>
          <w:rFonts w:ascii="Calibri" w:hAnsi="Calibri"/>
          <w:color w:val="000000"/>
          <w:sz w:val="22"/>
        </w:rPr>
        <w:t>Cite Noe et al. after connecting rewards and corrective action to results.</w:t>
      </w:r>
    </w:p>
    <w:p>
      <w:pPr>
        <w:spacing w:after="100" w:line="300" w:lineRule="auto"/>
      </w:pPr>
      <w:r>
        <w:rPr>
          <w:rFonts w:ascii="Calibri" w:hAnsi="Calibri"/>
          <w:b/>
          <w:color w:val="1F4D78"/>
          <w:sz w:val="22"/>
        </w:rPr>
        <w:t xml:space="preserve">Rubric target: </w:t>
      </w:r>
      <w:r>
        <w:rPr>
          <w:rFonts w:ascii="Calibri" w:hAnsi="Calibri"/>
          <w:color w:val="000000"/>
          <w:sz w:val="22"/>
        </w:rPr>
        <w:t>Step 6.</w:t>
      </w:r>
    </w:p>
    <w:p>
      <w:pPr>
        <w:pStyle w:val="Heading2"/>
        <w:keepNext/>
      </w:pPr>
      <w:r>
        <w:t>9. Training strengths, weaknesses, and revisions — 180 words</w:t>
      </w:r>
    </w:p>
    <w:p>
      <w:pPr>
        <w:spacing w:after="100" w:line="300" w:lineRule="auto"/>
      </w:pPr>
      <w:r>
        <w:rPr>
          <w:rFonts w:ascii="Calibri" w:hAnsi="Calibri"/>
          <w:b/>
          <w:color w:val="1F4D78"/>
          <w:sz w:val="22"/>
        </w:rPr>
        <w:t xml:space="preserve">Job: </w:t>
      </w:r>
      <w:r>
        <w:rPr>
          <w:rFonts w:ascii="Calibri" w:hAnsi="Calibri"/>
          <w:color w:val="000000"/>
          <w:sz w:val="22"/>
        </w:rPr>
        <w:t>Evaluate Emerson’s current training and recommend evidence-based improvements.</w:t>
      </w:r>
    </w:p>
    <w:p>
      <w:pPr>
        <w:spacing w:after="100" w:line="300" w:lineRule="auto"/>
      </w:pPr>
      <w:r>
        <w:rPr>
          <w:rFonts w:ascii="Calibri" w:hAnsi="Calibri"/>
          <w:b/>
          <w:color w:val="1F4D78"/>
          <w:sz w:val="22"/>
        </w:rPr>
        <w:t xml:space="preserve">Cover: </w:t>
      </w:r>
      <w:r>
        <w:rPr>
          <w:rFonts w:ascii="Calibri" w:hAnsi="Calibri"/>
          <w:color w:val="000000"/>
          <w:sz w:val="22"/>
        </w:rPr>
        <w:t>Strengths: global Learning Centers, leadership/professional/business workshops, Always-On Learning, and courses such as Crucial Conversations and Leading Change. Potential limitations: public information emphasizes leadership development; completion may not show skill transfer; global programs may miss local needs; shifts may have unequal access. Recommend needs assessments, paid learning time, coached practice, post-training observation, performance measures, and equity audits.</w:t>
      </w:r>
    </w:p>
    <w:p>
      <w:pPr>
        <w:spacing w:after="100" w:line="300" w:lineRule="auto"/>
      </w:pPr>
      <w:r>
        <w:rPr>
          <w:rFonts w:ascii="Calibri" w:hAnsi="Calibri"/>
          <w:b/>
          <w:color w:val="1F4D78"/>
          <w:sz w:val="22"/>
        </w:rPr>
        <w:t xml:space="preserve">Use/source(s): </w:t>
      </w:r>
      <w:r>
        <w:rPr>
          <w:rFonts w:ascii="Calibri" w:hAnsi="Calibri"/>
          <w:color w:val="000000"/>
          <w:sz w:val="22"/>
        </w:rPr>
        <w:t>Emerson Learning and Development; Noe et al., Chapter 7.</w:t>
      </w:r>
    </w:p>
    <w:tbl>
      <w:tblPr>
        <w:tblStyle w:val="TableGrid"/>
        <w:tblW w:type="dxa" w:w="9360"/>
        <w:jc w:val="left"/>
        <w:tblLayout w:type="fixed"/>
        <w:tblLook w:firstColumn="1" w:firstRow="1" w:lastColumn="0" w:lastRow="0" w:noHBand="0" w:noVBand="1" w:val="04A0"/>
        <w:tblInd w:w="120" w:type="dxa"/>
      </w:tblPr>
      <w:tblGrid>
        <w:gridCol w:w="9360"/>
      </w:tblGrid>
      <w:tr>
        <w:trPr>
          <w:tblHeader w:val="true"/>
          <w:cantSplit w:val="true"/>
        </w:trPr>
        <w:tc>
          <w:tcPr>
            <w:tcW w:type="dxa" w:w="9360"/>
            <w:vAlign w:val="center"/>
            <w:tcMar>
              <w:top w:w="80" w:type="dxa"/>
              <w:start w:w="120" w:type="dxa"/>
              <w:bottom w:w="80" w:type="dxa"/>
              <w:end w:w="120" w:type="dxa"/>
            </w:tcMar>
            <w:shd w:fill="F7F9FC"/>
          </w:tcPr>
          <w:p>
            <w:pPr>
              <w:spacing w:after="100" w:line="300" w:lineRule="auto"/>
            </w:pPr>
            <w:r>
              <w:rPr>
                <w:rFonts w:ascii="Calibri" w:hAnsi="Calibri"/>
                <w:b/>
                <w:color w:val="1F4D78"/>
                <w:sz w:val="22"/>
              </w:rPr>
              <w:t xml:space="preserve">Draft-ready idea: </w:t>
            </w:r>
            <w:r>
              <w:rPr>
                <w:rFonts w:ascii="Calibri" w:hAnsi="Calibri"/>
                <w:color w:val="000000"/>
                <w:sz w:val="22"/>
              </w:rPr>
              <w:t>“Emerson’s training infrastructure provides a strong foundation; however, participation alone does not demonstrate that employees can transfer new knowledge to the job…”</w:t>
            </w:r>
          </w:p>
        </w:tc>
      </w:tr>
    </w:tbl>
    <w:p>
      <w:pPr>
        <w:spacing w:after="100" w:line="300" w:lineRule="auto"/>
      </w:pPr>
      <w:r>
        <w:rPr>
          <w:rFonts w:ascii="Calibri" w:hAnsi="Calibri"/>
          <w:b/>
          <w:color w:val="1F4D78"/>
          <w:sz w:val="22"/>
        </w:rPr>
        <w:t xml:space="preserve">Must include: </w:t>
      </w:r>
      <w:r>
        <w:rPr>
          <w:rFonts w:ascii="Calibri" w:hAnsi="Calibri"/>
          <w:color w:val="000000"/>
          <w:sz w:val="22"/>
        </w:rPr>
        <w:t>Present weaknesses as analytical concerns or information gaps—not established failures—unless supported by evidence.</w:t>
      </w:r>
    </w:p>
    <w:p>
      <w:pPr>
        <w:spacing w:after="100" w:line="300" w:lineRule="auto"/>
      </w:pPr>
      <w:r>
        <w:rPr>
          <w:rFonts w:ascii="Calibri" w:hAnsi="Calibri"/>
          <w:b/>
          <w:color w:val="1F4D78"/>
          <w:sz w:val="22"/>
        </w:rPr>
        <w:t xml:space="preserve">Example to add: </w:t>
      </w:r>
      <w:r>
        <w:rPr>
          <w:rFonts w:ascii="Calibri" w:hAnsi="Calibri"/>
          <w:color w:val="000000"/>
          <w:sz w:val="22"/>
        </w:rPr>
        <w:t>Measure whether equipment training reduces calibration errors rather than counting attendance alone.</w:t>
      </w:r>
    </w:p>
    <w:p>
      <w:pPr>
        <w:spacing w:after="100" w:line="300" w:lineRule="auto"/>
      </w:pPr>
      <w:r>
        <w:rPr>
          <w:rFonts w:ascii="Calibri" w:hAnsi="Calibri"/>
          <w:b/>
          <w:color w:val="1F4D78"/>
          <w:sz w:val="22"/>
        </w:rPr>
        <w:t xml:space="preserve">Citation reminder: </w:t>
      </w:r>
      <w:r>
        <w:rPr>
          <w:rFonts w:ascii="Calibri" w:hAnsi="Calibri"/>
          <w:color w:val="000000"/>
          <w:sz w:val="22"/>
        </w:rPr>
        <w:t>Use (Emerson Electric Co., n.d.) for current programs and (Noe et al., 2023) for training evaluation.</w:t>
      </w:r>
    </w:p>
    <w:p>
      <w:pPr>
        <w:spacing w:after="100" w:line="300" w:lineRule="auto"/>
      </w:pPr>
      <w:r>
        <w:rPr>
          <w:rFonts w:ascii="Calibri" w:hAnsi="Calibri"/>
          <w:b/>
          <w:color w:val="1F4D78"/>
          <w:sz w:val="22"/>
        </w:rPr>
        <w:t xml:space="preserve">Rubric target: </w:t>
      </w:r>
      <w:r>
        <w:rPr>
          <w:rFonts w:ascii="Calibri" w:hAnsi="Calibri"/>
          <w:color w:val="000000"/>
          <w:sz w:val="22"/>
        </w:rPr>
        <w:t>Training strengths and weaknesses; HR goals; diversity support.</w:t>
      </w:r>
    </w:p>
    <w:p>
      <w:pPr>
        <w:pStyle w:val="Heading2"/>
        <w:keepNext/>
      </w:pPr>
      <w:r>
        <w:t>10. Effect on employee retention — 120 words</w:t>
      </w:r>
    </w:p>
    <w:p>
      <w:pPr>
        <w:spacing w:after="100" w:line="300" w:lineRule="auto"/>
      </w:pPr>
      <w:r>
        <w:rPr>
          <w:rFonts w:ascii="Calibri" w:hAnsi="Calibri"/>
          <w:b/>
          <w:color w:val="1F4D78"/>
          <w:sz w:val="22"/>
        </w:rPr>
        <w:t xml:space="preserve">Job: </w:t>
      </w:r>
      <w:r>
        <w:rPr>
          <w:rFonts w:ascii="Calibri" w:hAnsi="Calibri"/>
          <w:color w:val="000000"/>
          <w:sz w:val="22"/>
        </w:rPr>
        <w:t>Predict how revised recruitment, performance management, and training will influence retention.</w:t>
      </w:r>
    </w:p>
    <w:p>
      <w:pPr>
        <w:spacing w:after="100" w:line="300" w:lineRule="auto"/>
      </w:pPr>
      <w:r>
        <w:rPr>
          <w:rFonts w:ascii="Calibri" w:hAnsi="Calibri"/>
          <w:b/>
          <w:color w:val="1F4D78"/>
          <w:sz w:val="22"/>
        </w:rPr>
        <w:t xml:space="preserve">Cover: </w:t>
      </w:r>
      <w:r>
        <w:rPr>
          <w:rFonts w:ascii="Calibri" w:hAnsi="Calibri"/>
          <w:color w:val="000000"/>
          <w:sz w:val="22"/>
        </w:rPr>
        <w:t>Recruitment: realistic job previews and structured selection. Performance management: clarity, coaching, recognition, and fairness. Training: competence, career pathways, and organizational support. Recommend monitoring voluntary turnover, early-tenure turnover, promotions, training access, engagement, inclusion, and exit-interview themes.</w:t>
      </w:r>
    </w:p>
    <w:p>
      <w:pPr>
        <w:spacing w:after="100" w:line="300" w:lineRule="auto"/>
      </w:pPr>
      <w:r>
        <w:rPr>
          <w:rFonts w:ascii="Calibri" w:hAnsi="Calibri"/>
          <w:b/>
          <w:color w:val="1F4D78"/>
          <w:sz w:val="22"/>
        </w:rPr>
        <w:t xml:space="preserve">Use/source(s): </w:t>
      </w:r>
      <w:r>
        <w:rPr>
          <w:rFonts w:ascii="Calibri" w:hAnsi="Calibri"/>
          <w:color w:val="000000"/>
          <w:sz w:val="22"/>
        </w:rPr>
        <w:t>Emerson 10-K; Noe et al., Chapter 10.</w:t>
      </w:r>
    </w:p>
    <w:tbl>
      <w:tblPr>
        <w:tblStyle w:val="TableGrid"/>
        <w:tblW w:type="dxa" w:w="9360"/>
        <w:jc w:val="left"/>
        <w:tblLayout w:type="fixed"/>
        <w:tblLook w:firstColumn="1" w:firstRow="1" w:lastColumn="0" w:lastRow="0" w:noHBand="0" w:noVBand="1" w:val="04A0"/>
        <w:tblInd w:w="120" w:type="dxa"/>
      </w:tblPr>
      <w:tblGrid>
        <w:gridCol w:w="9360"/>
      </w:tblGrid>
      <w:tr>
        <w:trPr>
          <w:tblHeader w:val="true"/>
          <w:cantSplit w:val="true"/>
        </w:trPr>
        <w:tc>
          <w:tcPr>
            <w:tcW w:type="dxa" w:w="9360"/>
            <w:vAlign w:val="center"/>
            <w:tcMar>
              <w:top w:w="80" w:type="dxa"/>
              <w:start w:w="120" w:type="dxa"/>
              <w:bottom w:w="80" w:type="dxa"/>
              <w:end w:w="120" w:type="dxa"/>
            </w:tcMar>
            <w:shd w:fill="F7F9FC"/>
          </w:tcPr>
          <w:p>
            <w:pPr>
              <w:spacing w:after="100" w:line="300" w:lineRule="auto"/>
            </w:pPr>
            <w:r>
              <w:rPr>
                <w:rFonts w:ascii="Calibri" w:hAnsi="Calibri"/>
                <w:b/>
                <w:color w:val="1F4D78"/>
                <w:sz w:val="22"/>
              </w:rPr>
              <w:t xml:space="preserve">Draft-ready idea: </w:t>
            </w:r>
            <w:r>
              <w:rPr>
                <w:rFonts w:ascii="Calibri" w:hAnsi="Calibri"/>
                <w:color w:val="000000"/>
                <w:sz w:val="22"/>
              </w:rPr>
              <w:t>“The revised HR strategies should improve retention by strengthening employees’ competence, career prospects, organizational support, and perceptions of fairness…”</w:t>
            </w:r>
          </w:p>
        </w:tc>
      </w:tr>
    </w:tbl>
    <w:p>
      <w:pPr>
        <w:spacing w:after="100" w:line="300" w:lineRule="auto"/>
      </w:pPr>
      <w:r>
        <w:rPr>
          <w:rFonts w:ascii="Calibri" w:hAnsi="Calibri"/>
          <w:b/>
          <w:color w:val="1F4D78"/>
          <w:sz w:val="22"/>
        </w:rPr>
        <w:t xml:space="preserve">Must include: </w:t>
      </w:r>
      <w:r>
        <w:rPr>
          <w:rFonts w:ascii="Calibri" w:hAnsi="Calibri"/>
          <w:color w:val="000000"/>
          <w:sz w:val="22"/>
        </w:rPr>
        <w:t>Mention Emerson’s 91% survey participation and approximately 79% engagement as baselines, not proof that retention problems are solved.</w:t>
      </w:r>
    </w:p>
    <w:p>
      <w:pPr>
        <w:spacing w:after="100" w:line="300" w:lineRule="auto"/>
      </w:pPr>
      <w:r>
        <w:rPr>
          <w:rFonts w:ascii="Calibri" w:hAnsi="Calibri"/>
          <w:b/>
          <w:color w:val="1F4D78"/>
          <w:sz w:val="22"/>
        </w:rPr>
        <w:t xml:space="preserve">Example to add: </w:t>
      </w:r>
      <w:r>
        <w:rPr>
          <w:rFonts w:ascii="Calibri" w:hAnsi="Calibri"/>
          <w:color w:val="000000"/>
          <w:sz w:val="22"/>
        </w:rPr>
        <w:t>Compare turnover among employees who complete development plans with comparable nonparticipants.</w:t>
      </w:r>
    </w:p>
    <w:p>
      <w:pPr>
        <w:spacing w:after="100" w:line="300" w:lineRule="auto"/>
      </w:pPr>
      <w:r>
        <w:rPr>
          <w:rFonts w:ascii="Calibri" w:hAnsi="Calibri"/>
          <w:b/>
          <w:color w:val="1F4D78"/>
          <w:sz w:val="22"/>
        </w:rPr>
        <w:t xml:space="preserve">Citation reminder: </w:t>
      </w:r>
      <w:r>
        <w:rPr>
          <w:rFonts w:ascii="Calibri" w:hAnsi="Calibri"/>
          <w:color w:val="000000"/>
          <w:sz w:val="22"/>
        </w:rPr>
        <w:t>Cite Emerson for survey figures and Noe et al. for withdrawal and turnover concepts.</w:t>
      </w:r>
    </w:p>
    <w:p>
      <w:pPr>
        <w:spacing w:after="100" w:line="300" w:lineRule="auto"/>
      </w:pPr>
      <w:r>
        <w:rPr>
          <w:rFonts w:ascii="Calibri" w:hAnsi="Calibri"/>
          <w:b/>
          <w:color w:val="1F4D78"/>
          <w:sz w:val="22"/>
        </w:rPr>
        <w:t xml:space="preserve">Rubric target: </w:t>
      </w:r>
      <w:r>
        <w:rPr>
          <w:rFonts w:ascii="Calibri" w:hAnsi="Calibri"/>
          <w:color w:val="000000"/>
          <w:sz w:val="22"/>
        </w:rPr>
        <w:t>Impact of recruitment, performance management, and training on retention.</w:t>
      </w:r>
    </w:p>
    <w:p>
      <w:pPr>
        <w:pStyle w:val="Heading2"/>
        <w:keepNext/>
      </w:pPr>
      <w:r>
        <w:t>11. Conclusion and competitive advantage — 180 words</w:t>
      </w:r>
    </w:p>
    <w:p>
      <w:pPr>
        <w:spacing w:after="100" w:line="300" w:lineRule="auto"/>
      </w:pPr>
      <w:r>
        <w:rPr>
          <w:rFonts w:ascii="Calibri" w:hAnsi="Calibri"/>
          <w:b/>
          <w:color w:val="1F4D78"/>
          <w:sz w:val="22"/>
        </w:rPr>
        <w:t xml:space="preserve">Job: </w:t>
      </w:r>
      <w:r>
        <w:rPr>
          <w:rFonts w:ascii="Calibri" w:hAnsi="Calibri"/>
          <w:color w:val="000000"/>
          <w:sz w:val="22"/>
        </w:rPr>
        <w:t>Synthesize the cycle and explain its strategic value without introducing new evidence.</w:t>
      </w:r>
    </w:p>
    <w:p>
      <w:pPr>
        <w:spacing w:after="100" w:line="300" w:lineRule="auto"/>
      </w:pPr>
      <w:r>
        <w:rPr>
          <w:rFonts w:ascii="Calibri" w:hAnsi="Calibri"/>
          <w:b/>
          <w:color w:val="1F4D78"/>
          <w:sz w:val="22"/>
        </w:rPr>
        <w:t xml:space="preserve">Cover: </w:t>
      </w:r>
      <w:r>
        <w:rPr>
          <w:rFonts w:ascii="Calibri" w:hAnsi="Calibri"/>
          <w:color w:val="000000"/>
          <w:sz w:val="22"/>
        </w:rPr>
        <w:t>Restate that performance management is continuous; summarize the six steps; connect diversity, training, and retention; explain benefits such as reliable products, fewer defects and delays, safer work, lower replacement costs, technical capability, innovation, and customer trust.</w:t>
      </w:r>
    </w:p>
    <w:p>
      <w:pPr>
        <w:spacing w:after="100" w:line="300" w:lineRule="auto"/>
      </w:pPr>
      <w:r>
        <w:rPr>
          <w:rFonts w:ascii="Calibri" w:hAnsi="Calibri"/>
          <w:b/>
          <w:color w:val="1F4D78"/>
          <w:sz w:val="22"/>
        </w:rPr>
        <w:t xml:space="preserve">Use/source(s): </w:t>
      </w:r>
      <w:r>
        <w:rPr>
          <w:rFonts w:ascii="Calibri" w:hAnsi="Calibri"/>
          <w:color w:val="000000"/>
          <w:sz w:val="22"/>
        </w:rPr>
        <w:t>Synthesis of previously cited sources.</w:t>
      </w:r>
    </w:p>
    <w:tbl>
      <w:tblPr>
        <w:tblStyle w:val="TableGrid"/>
        <w:tblW w:type="dxa" w:w="9360"/>
        <w:jc w:val="left"/>
        <w:tblLayout w:type="fixed"/>
        <w:tblLook w:firstColumn="1" w:firstRow="1" w:lastColumn="0" w:lastRow="0" w:noHBand="0" w:noVBand="1" w:val="04A0"/>
        <w:tblInd w:w="120" w:type="dxa"/>
      </w:tblPr>
      <w:tblGrid>
        <w:gridCol w:w="9360"/>
      </w:tblGrid>
      <w:tr>
        <w:trPr>
          <w:tblHeader w:val="true"/>
          <w:cantSplit w:val="true"/>
        </w:trPr>
        <w:tc>
          <w:tcPr>
            <w:tcW w:type="dxa" w:w="9360"/>
            <w:vAlign w:val="center"/>
            <w:tcMar>
              <w:top w:w="80" w:type="dxa"/>
              <w:start w:w="120" w:type="dxa"/>
              <w:bottom w:w="80" w:type="dxa"/>
              <w:end w:w="120" w:type="dxa"/>
            </w:tcMar>
            <w:shd w:fill="F7F9FC"/>
          </w:tcPr>
          <w:p>
            <w:pPr>
              <w:spacing w:after="100" w:line="300" w:lineRule="auto"/>
            </w:pPr>
            <w:r>
              <w:rPr>
                <w:rFonts w:ascii="Calibri" w:hAnsi="Calibri"/>
                <w:b/>
                <w:color w:val="1F4D78"/>
                <w:sz w:val="22"/>
              </w:rPr>
              <w:t xml:space="preserve">Draft-ready idea: </w:t>
            </w:r>
            <w:r>
              <w:rPr>
                <w:rFonts w:ascii="Calibri" w:hAnsi="Calibri"/>
                <w:color w:val="000000"/>
                <w:sz w:val="22"/>
              </w:rPr>
              <w:t>“Emerson’s competitive advantage depends not only on its automation technologies but also on the employees who design, manufacture, test, and support those technologies…”</w:t>
            </w:r>
          </w:p>
        </w:tc>
      </w:tr>
    </w:tbl>
    <w:p>
      <w:pPr>
        <w:spacing w:after="100" w:line="300" w:lineRule="auto"/>
      </w:pPr>
      <w:r>
        <w:rPr>
          <w:rFonts w:ascii="Calibri" w:hAnsi="Calibri"/>
          <w:b/>
          <w:color w:val="1F4D78"/>
          <w:sz w:val="22"/>
        </w:rPr>
        <w:t xml:space="preserve">Must include: </w:t>
      </w:r>
      <w:r>
        <w:rPr>
          <w:rFonts w:ascii="Calibri" w:hAnsi="Calibri"/>
          <w:color w:val="000000"/>
          <w:sz w:val="22"/>
        </w:rPr>
        <w:t>Return directly to the thesis and show how HR practices contribute to marketplace advantage.</w:t>
      </w:r>
    </w:p>
    <w:p>
      <w:pPr>
        <w:spacing w:after="100" w:line="300" w:lineRule="auto"/>
      </w:pPr>
      <w:r>
        <w:rPr>
          <w:rFonts w:ascii="Calibri" w:hAnsi="Calibri"/>
          <w:b/>
          <w:color w:val="1F4D78"/>
          <w:sz w:val="22"/>
        </w:rPr>
        <w:t xml:space="preserve">Example to add: </w:t>
      </w:r>
      <w:r>
        <w:rPr>
          <w:rFonts w:ascii="Calibri" w:hAnsi="Calibri"/>
          <w:color w:val="000000"/>
          <w:sz w:val="22"/>
        </w:rPr>
        <w:t>Experienced employees preserve technical and customer knowledge that competitors may find difficult to imitate.</w:t>
      </w:r>
    </w:p>
    <w:p>
      <w:pPr>
        <w:spacing w:after="100" w:line="300" w:lineRule="auto"/>
      </w:pPr>
      <w:r>
        <w:rPr>
          <w:rFonts w:ascii="Calibri" w:hAnsi="Calibri"/>
          <w:b/>
          <w:color w:val="1F4D78"/>
          <w:sz w:val="22"/>
        </w:rPr>
        <w:t xml:space="preserve">Citation reminder: </w:t>
      </w:r>
      <w:r>
        <w:rPr>
          <w:rFonts w:ascii="Calibri" w:hAnsi="Calibri"/>
          <w:color w:val="000000"/>
          <w:sz w:val="22"/>
        </w:rPr>
        <w:t>No new citation is necessary if the paragraph only synthesizes previously supported claims.</w:t>
      </w:r>
    </w:p>
    <w:p>
      <w:pPr>
        <w:spacing w:after="100" w:line="300" w:lineRule="auto"/>
      </w:pPr>
      <w:r>
        <w:rPr>
          <w:rFonts w:ascii="Calibri" w:hAnsi="Calibri"/>
          <w:b/>
          <w:color w:val="1F4D78"/>
          <w:sz w:val="22"/>
        </w:rPr>
        <w:t xml:space="preserve">Rubric target: </w:t>
      </w:r>
      <w:r>
        <w:rPr>
          <w:rFonts w:ascii="Calibri" w:hAnsi="Calibri"/>
          <w:color w:val="000000"/>
          <w:sz w:val="22"/>
        </w:rPr>
        <w:t>Conclusion; competitive advantage.</w:t>
      </w:r>
    </w:p>
    <w:p>
      <w:pPr>
        <w:pStyle w:val="Heading1"/>
      </w:pPr>
      <w:r>
        <w:t>6. Evidence bank</w:t>
      </w:r>
    </w:p>
    <w:p>
      <w:pPr>
        <w:pStyle w:val="Heading2"/>
      </w:pPr>
      <w:r>
        <w:t>Emerson 2025 Form 10-K</w:t>
      </w:r>
    </w:p>
    <w:p>
      <w:pPr>
        <w:pStyle w:val="GuideBullet"/>
      </w:pPr>
      <w:r>
        <w:t>Emerson is publicly traded under EMR and reported approximately 71,000 employees in 2025.</w:t>
      </w:r>
    </w:p>
    <w:p>
      <w:pPr>
        <w:pStyle w:val="GuideBullet"/>
      </w:pPr>
      <w:r>
        <w:t>The annual employee survey had 91% participation; engagement was approximately 79%; the inclusion index was 80%.</w:t>
      </w:r>
    </w:p>
    <w:p>
      <w:pPr>
        <w:pStyle w:val="GuideBullet"/>
      </w:pPr>
      <w:r>
        <w:t>The total recordable injury rate was 0.25, and leadership/professional development were identified as human-capital priorities.</w:t>
      </w:r>
    </w:p>
    <w:p>
      <w:pPr>
        <w:pStyle w:val="GuideBullet"/>
      </w:pPr>
      <w:r>
        <w:t>Limitation: company-wide reporting does not provide the proposed Manufacturing and Operations targets used in this plan.</w:t>
      </w:r>
    </w:p>
    <w:p>
      <w:pPr>
        <w:pStyle w:val="Heading2"/>
      </w:pPr>
      <w:r>
        <w:t>Emerson Sustainability Report</w:t>
      </w:r>
    </w:p>
    <w:p>
      <w:pPr>
        <w:pStyle w:val="GuideBullet"/>
      </w:pPr>
      <w:r>
        <w:t>Connects operational efficiency with employee investment, safety, and sustainability.</w:t>
      </w:r>
    </w:p>
    <w:p>
      <w:pPr>
        <w:pStyle w:val="GuideBullet"/>
      </w:pPr>
      <w:r>
        <w:t>Reports 78.9% employee engagement and a 0.25 total recordable injury rate.</w:t>
      </w:r>
    </w:p>
    <w:p>
      <w:pPr>
        <w:pStyle w:val="GuideBullet"/>
      </w:pPr>
      <w:r>
        <w:t>Limitation: this is company-reported evidence, not an independent evaluation.</w:t>
      </w:r>
    </w:p>
    <w:p>
      <w:pPr>
        <w:pStyle w:val="Heading2"/>
      </w:pPr>
      <w:r>
        <w:t>Emerson Learning and Development</w:t>
      </w:r>
    </w:p>
    <w:p>
      <w:pPr>
        <w:pStyle w:val="GuideBullet"/>
      </w:pPr>
      <w:r>
        <w:t>Identifies global Learning Centers, leadership/professional/business training, and Always-On Learning.</w:t>
      </w:r>
    </w:p>
    <w:p>
      <w:pPr>
        <w:pStyle w:val="GuideBullet"/>
      </w:pPr>
      <w:r>
        <w:t>Nearly 6,000 employees have benefited from Leading at Emerson since 2017.</w:t>
      </w:r>
    </w:p>
    <w:p>
      <w:pPr>
        <w:pStyle w:val="GuideBullet"/>
      </w:pPr>
      <w:r>
        <w:t>Limitation: the public page provides limited evidence about frontline access or transfer of learning.</w:t>
      </w:r>
    </w:p>
    <w:p>
      <w:pPr>
        <w:pStyle w:val="Heading2"/>
      </w:pPr>
      <w:r>
        <w:t>Noe et al. and Pulakos et al.</w:t>
      </w:r>
    </w:p>
    <w:p>
      <w:pPr>
        <w:pStyle w:val="GuideBullet"/>
      </w:pPr>
      <w:r>
        <w:t>Use Noe et al. Chapter 7 for training, Chapter 8 for the six-step cycle and evaluation, and Chapter 10 for retention.</w:t>
      </w:r>
    </w:p>
    <w:p>
      <w:pPr>
        <w:pStyle w:val="GuideBullet"/>
      </w:pPr>
      <w:r>
        <w:t>Use Pulakos et al. for goal setting, coaching, real-time feedback, streamlined systems, and rating limitations.</w:t>
      </w:r>
    </w:p>
    <w:p>
      <w:pPr>
        <w:pStyle w:val="Heading1"/>
      </w:pPr>
      <w:r>
        <w:t>7. APA reference scaffolds</w:t>
      </w:r>
    </w:p>
    <w:p>
      <w:pPr>
        <w:spacing w:after="160"/>
        <w:ind w:left="720" w:hanging="720"/>
      </w:pPr>
      <w:r>
        <w:t xml:space="preserve">Emerson Electric Co. (2025). Annual report 2025 [Form 10-K]. </w:t>
      </w:r>
      <w:hyperlink r:id="rId11">
        <w:r>
          <w:rPr>
            <w:rFonts w:ascii="Calibri" w:hAnsi="Calibri"/>
            <w:color w:val="2E74B5"/>
            <w:u w:val="single"/>
          </w:rPr>
          <w:t>https://ir.emerson.com/sec-filings/all-sec-filings/content/0000032604-25-000087/emr-20250930.htm</w:t>
        </w:r>
      </w:hyperlink>
    </w:p>
    <w:p>
      <w:pPr>
        <w:spacing w:after="160"/>
        <w:ind w:left="720" w:hanging="720"/>
      </w:pPr>
      <w:r>
        <w:t xml:space="preserve">Emerson Electric Co. (2026, May 19). Emerson releases 2025 sustainability report. </w:t>
      </w:r>
      <w:hyperlink r:id="rId12">
        <w:r>
          <w:rPr>
            <w:rFonts w:ascii="Calibri" w:hAnsi="Calibri"/>
            <w:color w:val="2E74B5"/>
            <w:u w:val="single"/>
          </w:rPr>
          <w:t>https://ir.emerson.com/news-events/press-releases/detail/634/emerson-releases-2025-sustainability-report</w:t>
        </w:r>
      </w:hyperlink>
    </w:p>
    <w:p>
      <w:pPr>
        <w:spacing w:after="160"/>
        <w:ind w:left="720" w:hanging="720"/>
      </w:pPr>
      <w:r>
        <w:t xml:space="preserve">Emerson Electric Co. (n.d.). Learning and development. </w:t>
      </w:r>
      <w:hyperlink r:id="rId13">
        <w:r>
          <w:rPr>
            <w:rFonts w:ascii="Calibri" w:hAnsi="Calibri"/>
            <w:color w:val="2E74B5"/>
            <w:u w:val="single"/>
          </w:rPr>
          <w:t>https://www.emerson.com/en/corporate/careers/training-and-development</w:t>
        </w:r>
      </w:hyperlink>
    </w:p>
    <w:p>
      <w:pPr>
        <w:spacing w:after="160"/>
        <w:ind w:left="720" w:hanging="720"/>
      </w:pPr>
      <w:r>
        <w:t>Noe, R. A., Hollenbeck, J. R., Gerhart, B., &amp; Wright, P. M. (2023). Human resource management: Gaining a competitive advantage (13th ed.). McGraw Hill.</w:t>
      </w:r>
    </w:p>
    <w:p>
      <w:pPr>
        <w:spacing w:after="160"/>
        <w:ind w:left="720" w:hanging="720"/>
      </w:pPr>
      <w:r>
        <w:t xml:space="preserve">Pulakos, E. D., Mueller-Hanson, R., &amp; Arad, S. (2019). The evolution of performance management: Searching for value. Annual Review of Organizational Psychology and Organizational Behavior, 6, 249–271. </w:t>
      </w:r>
      <w:hyperlink r:id="rId14">
        <w:r>
          <w:rPr>
            <w:rFonts w:ascii="Calibri" w:hAnsi="Calibri"/>
            <w:color w:val="2E74B5"/>
            <w:u w:val="single"/>
          </w:rPr>
          <w:t>https://doi.org/10.1146/annurev-orgpsych-012218-015009</w:t>
        </w:r>
      </w:hyperlink>
    </w:p>
    <w:p>
      <w:pPr>
        <w:pStyle w:val="Heading1"/>
      </w:pPr>
      <w:r>
        <w:t>8. Final rubric and submission checklist</w:t>
      </w:r>
    </w:p>
    <w:p>
      <w:pPr>
        <w:pStyle w:val="ChecklistBullet"/>
      </w:pPr>
      <w:r>
        <w:t>Use Emerson Electric Co. as the legal organization name and identify Manufacturing and Operations as the selected department.</w:t>
      </w:r>
    </w:p>
    <w:p>
      <w:pPr>
        <w:pStyle w:val="ChecklistBullet"/>
      </w:pPr>
      <w:r>
        <w:t>Keep the body at approximately 1,500 words; do not count the title or reference pages unless the instructor says otherwise.</w:t>
      </w:r>
    </w:p>
    <w:p>
      <w:pPr>
        <w:pStyle w:val="ChecklistBullet"/>
      </w:pPr>
      <w:r>
        <w:t>Use APA 7 student-paper formatting, include a title page and reference page, and omit the abstract.</w:t>
      </w:r>
    </w:p>
    <w:p>
      <w:pPr>
        <w:pStyle w:val="ChecklistBullet"/>
      </w:pPr>
      <w:r>
        <w:t>Label all six performance-management steps and separate company outcomes from department outcomes.</w:t>
      </w:r>
    </w:p>
    <w:p>
      <w:pPr>
        <w:pStyle w:val="ChecklistBullet"/>
      </w:pPr>
      <w:r>
        <w:t>Include policies supporting diversity, accessibility, fair ratings, and equitable training access.</w:t>
      </w:r>
    </w:p>
    <w:p>
      <w:pPr>
        <w:pStyle w:val="ChecklistBullet"/>
      </w:pPr>
      <w:r>
        <w:t>Evaluate current training strengths and weaknesses instead of only describing the programs.</w:t>
      </w:r>
    </w:p>
    <w:p>
      <w:pPr>
        <w:pStyle w:val="ChecklistBullet"/>
      </w:pPr>
      <w:r>
        <w:t>Connect recruitment, performance management, and employee training to retention.</w:t>
      </w:r>
    </w:p>
    <w:p>
      <w:pPr>
        <w:pStyle w:val="ChecklistBullet"/>
      </w:pPr>
      <w:r>
        <w:t>Explain how performance management, training, and retention contribute to competitive advantage.</w:t>
      </w:r>
    </w:p>
    <w:p>
      <w:pPr>
        <w:pStyle w:val="ChecklistBullet"/>
      </w:pPr>
      <w:r>
        <w:t>Use three to five sources, including the course textbook, and clearly label invented metrics as proposed targets.</w:t>
      </w:r>
    </w:p>
    <w:p>
      <w:pPr>
        <w:pStyle w:val="ChecklistBullet"/>
      </w:pPr>
      <w:r>
        <w:t>Review the separate course rubric, run a spelling/grammar check, and submit the final paper through LopesWrite.</w:t>
      </w:r>
    </w:p>
    <w:sectPr w:rsidR="00FC693F" w:rsidRPr="0006063C" w:rsidSect="00034616">
      <w:headerReference w:type="default" r:id="rId9"/>
      <w:footerReference w:type="default" r:id="rId10"/>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Calibri" w:hAnsi="Calibri"/>
        <w:color w:val="667085"/>
        <w:sz w:val="17"/>
      </w:rPr>
      <w:t xml:space="preserve">1500-word performance management plan  |  </w:t>
    </w:r>
    <w:r>
      <w:fldChar w:fldCharType="begin"/>
      <w:instrText xml:space="preserve"> PAGE </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Calibri" w:hAnsi="Calibri"/>
        <w:b/>
        <w:color w:val="667085"/>
        <w:sz w:val="17"/>
      </w:rPr>
      <w:t>EMERSON SOLUTIONS | WORKING DRAFT GUIDE</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20" w:line="300" w:lineRule="auto"/>
    </w:pPr>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200"/>
      <w:outlineLvl w:val="0"/>
    </w:pPr>
    <w:rPr>
      <w:rFonts w:asciiTheme="majorHAnsi" w:eastAsiaTheme="majorEastAsia" w:hAnsiTheme="majorHAnsi" w:cstheme="majorBidi" w:ascii="Calibri" w:hAnsi="Calibri"/>
      <w:b/>
      <w:bCs/>
      <w:color w:val="2E74B5"/>
      <w:sz w:val="32"/>
      <w:szCs w:val="28"/>
    </w:rPr>
  </w:style>
  <w:style w:type="paragraph" w:styleId="Heading2">
    <w:name w:val="heading 2"/>
    <w:basedOn w:val="Normal"/>
    <w:next w:val="Normal"/>
    <w:link w:val="Heading2Char"/>
    <w:uiPriority w:val="9"/>
    <w:unhideWhenUsed/>
    <w:qFormat/>
    <w:rsid w:val="00FC693F"/>
    <w:pPr>
      <w:keepNext/>
      <w:keepLines/>
      <w:spacing w:before="280" w:after="140"/>
      <w:outlineLvl w:val="1"/>
    </w:pPr>
    <w:rPr>
      <w:rFonts w:asciiTheme="majorHAnsi" w:eastAsiaTheme="majorEastAsia" w:hAnsiTheme="majorHAnsi" w:cstheme="majorBidi" w:ascii="Calibri" w:hAnsi="Calibri"/>
      <w:b/>
      <w:bCs/>
      <w:color w:val="2E74B5"/>
      <w:sz w:val="26"/>
      <w:szCs w:val="26"/>
    </w:rPr>
  </w:style>
  <w:style w:type="paragraph" w:styleId="Heading3">
    <w:name w:val="heading 3"/>
    <w:basedOn w:val="Normal"/>
    <w:next w:val="Normal"/>
    <w:link w:val="Heading3Char"/>
    <w:uiPriority w:val="9"/>
    <w:unhideWhenUsed/>
    <w:qFormat/>
    <w:rsid w:val="00FC693F"/>
    <w:pPr>
      <w:keepNext/>
      <w:keepLines/>
      <w:spacing w:before="200" w:after="100"/>
      <w:outlineLvl w:val="2"/>
    </w:pPr>
    <w:rPr>
      <w:rFonts w:asciiTheme="majorHAnsi" w:eastAsiaTheme="majorEastAsia" w:hAnsiTheme="majorHAnsi" w:cstheme="majorBidi" w:ascii="Calibri" w:hAnsi="Calibri"/>
      <w:b/>
      <w:bCs/>
      <w:color w:val="1F4D78"/>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GuideBullet">
    <w:name w:val="Guide Bullet"/>
    <w:basedOn w:val="ListBullet"/>
    <w:pPr>
      <w:spacing w:after="80" w:line="300" w:lineRule="auto"/>
      <w:ind w:left="540" w:hanging="271"/>
    </w:pPr>
    <w:rPr>
      <w:rFonts w:ascii="Calibri" w:hAnsi="Calibri"/>
      <w:sz w:val="22"/>
    </w:rPr>
  </w:style>
  <w:style w:type="paragraph" w:customStyle="1" w:styleId="ChecklistBullet">
    <w:name w:val="Checklist Bullet"/>
    <w:basedOn w:val="ListBullet"/>
    <w:pPr>
      <w:spacing w:after="40" w:line="240" w:lineRule="auto"/>
      <w:ind w:left="540" w:hanging="271"/>
    </w:pPr>
    <w:rPr>
      <w:rFonts w:ascii="Calibri" w:hAnsi="Calibri"/>
      <w:sz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yperlink" Target="https://ir.emerson.com/sec-filings/all-sec-filings/content/0000032604-25-000087/emr-20250930.htm" TargetMode="External"/><Relationship Id="rId12" Type="http://schemas.openxmlformats.org/officeDocument/2006/relationships/hyperlink" Target="https://ir.emerson.com/news-events/press-releases/detail/634/emerson-releases-2025-sustainability-report" TargetMode="External"/><Relationship Id="rId13" Type="http://schemas.openxmlformats.org/officeDocument/2006/relationships/hyperlink" Target="https://www.emerson.com/en/corporate/careers/training-and-development" TargetMode="External"/><Relationship Id="rId14" Type="http://schemas.openxmlformats.org/officeDocument/2006/relationships/hyperlink" Target="https://doi.org/10.1146/annurev-orgpsych-012218-01500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Emerson Solutions: 1500-Word Performance Management Working Draft Guide</dc:title>
  <dc:subject>Academic working draft roadmap</dc:subject>
  <dc:creator/>
  <cp:keywords>Emerson, performance management, HR, working draft</cp:keywords>
  <dc:description>generated by python-docx</dc:description>
  <cp:lastModifiedBy/>
  <cp:revision>1</cp:revision>
  <dcterms:created xsi:type="dcterms:W3CDTF">2013-12-23T23:15:00Z</dcterms:created>
  <dcterms:modified xsi:type="dcterms:W3CDTF">2013-12-23T23:15:00Z</dcterms:modified>
  <cp:category/>
</cp:coreProperties>
</file>